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119A" w14:textId="77777777" w:rsidR="00050075" w:rsidRPr="005A04FC" w:rsidRDefault="00050075">
      <w:bookmarkStart w:id="0" w:name="_GoBack"/>
      <w:bookmarkEnd w:id="0"/>
      <w:r w:rsidRPr="005A04FC">
        <w:t xml:space="preserve"> </w:t>
      </w:r>
      <w:r w:rsidR="006338AA" w:rsidRPr="005A04FC">
        <w:t xml:space="preserve">            </w:t>
      </w:r>
    </w:p>
    <w:p w14:paraId="615C119B" w14:textId="77777777" w:rsidR="00050075" w:rsidRPr="005A04FC" w:rsidRDefault="000017B6" w:rsidP="00812FFB">
      <w:pPr>
        <w:framePr w:hSpace="180" w:wrap="around" w:vAnchor="text" w:hAnchor="page" w:x="5881" w:y="1"/>
      </w:pPr>
      <w:r w:rsidRPr="005A04FC">
        <w:rPr>
          <w:noProof/>
        </w:rPr>
        <w:drawing>
          <wp:anchor distT="0" distB="0" distL="114300" distR="114300" simplePos="0" relativeHeight="251659264" behindDoc="1" locked="0" layoutInCell="1" allowOverlap="1" wp14:anchorId="615C11F2" wp14:editId="615C11F3">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615C119C" w14:textId="77777777" w:rsidR="00050075" w:rsidRPr="005A04FC" w:rsidRDefault="00050075" w:rsidP="005E3E29">
      <w:pPr>
        <w:jc w:val="both"/>
      </w:pPr>
      <w:r w:rsidRPr="005A04FC">
        <w:t xml:space="preserve">                                                                                                                    </w:t>
      </w:r>
      <w:r w:rsidRPr="005A04FC">
        <w:tab/>
      </w:r>
      <w:r w:rsidRPr="005A04FC">
        <w:tab/>
        <w:t>Projektas</w:t>
      </w:r>
    </w:p>
    <w:p w14:paraId="615C119D" w14:textId="77777777" w:rsidR="00050075" w:rsidRPr="005A04FC" w:rsidRDefault="00050075" w:rsidP="002E7AE3"/>
    <w:p w14:paraId="615C119E" w14:textId="77777777" w:rsidR="00050075" w:rsidRPr="005A04FC" w:rsidRDefault="00050075" w:rsidP="002E7AE3"/>
    <w:p w14:paraId="615C119F" w14:textId="77777777" w:rsidR="00050075" w:rsidRPr="005A04FC" w:rsidRDefault="00050075" w:rsidP="002E7AE3">
      <w:pPr>
        <w:jc w:val="center"/>
        <w:rPr>
          <w:b/>
        </w:rPr>
      </w:pPr>
    </w:p>
    <w:p w14:paraId="615C11A0" w14:textId="77777777" w:rsidR="00050075" w:rsidRPr="005A04FC" w:rsidRDefault="00050075" w:rsidP="002E7AE3">
      <w:pPr>
        <w:jc w:val="center"/>
        <w:rPr>
          <w:b/>
        </w:rPr>
      </w:pPr>
    </w:p>
    <w:p w14:paraId="615C11A1" w14:textId="77777777" w:rsidR="00050075" w:rsidRPr="005A04FC" w:rsidRDefault="00050075" w:rsidP="007A7472">
      <w:pPr>
        <w:jc w:val="center"/>
        <w:rPr>
          <w:b/>
          <w:sz w:val="26"/>
        </w:rPr>
      </w:pPr>
      <w:r w:rsidRPr="005A04FC">
        <w:rPr>
          <w:b/>
          <w:sz w:val="26"/>
        </w:rPr>
        <w:t>ROKIŠKIO RAJONO SAVIVALDYBĖS TARYBA</w:t>
      </w:r>
    </w:p>
    <w:p w14:paraId="615C11A2" w14:textId="77777777" w:rsidR="00E50E78" w:rsidRPr="005A04FC" w:rsidRDefault="00E50E78" w:rsidP="007A7472">
      <w:pPr>
        <w:jc w:val="center"/>
        <w:rPr>
          <w:b/>
          <w:sz w:val="26"/>
        </w:rPr>
      </w:pPr>
    </w:p>
    <w:p w14:paraId="615C11A3" w14:textId="77777777" w:rsidR="00050075" w:rsidRPr="005A04FC" w:rsidRDefault="00050075" w:rsidP="00E50E78">
      <w:pPr>
        <w:jc w:val="center"/>
        <w:rPr>
          <w:b/>
          <w:sz w:val="26"/>
        </w:rPr>
      </w:pPr>
      <w:r w:rsidRPr="005A04FC">
        <w:rPr>
          <w:b/>
          <w:sz w:val="26"/>
        </w:rPr>
        <w:t>S P R E N D I M AS</w:t>
      </w:r>
    </w:p>
    <w:p w14:paraId="615C11A4" w14:textId="77777777" w:rsidR="00050075" w:rsidRPr="005A04FC" w:rsidRDefault="00DD49BC" w:rsidP="00986BE5">
      <w:pPr>
        <w:pStyle w:val="Antrats"/>
        <w:jc w:val="center"/>
        <w:rPr>
          <w:b/>
          <w:sz w:val="24"/>
          <w:szCs w:val="24"/>
          <w:lang w:val="lt-LT"/>
        </w:rPr>
      </w:pPr>
      <w:r w:rsidRPr="005A04FC">
        <w:rPr>
          <w:b/>
          <w:sz w:val="24"/>
          <w:szCs w:val="24"/>
          <w:lang w:val="lt-LT"/>
        </w:rPr>
        <w:t>DĖL ROKIŠKIO RAJONO SAVIVALDYBĖS TARYBOS 2019 M. BALANDŽIO 26 D. SPRENDIMO NR. TS-103 „DĖL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 PAPILDYMO</w:t>
      </w:r>
    </w:p>
    <w:p w14:paraId="615C11A5" w14:textId="77777777" w:rsidR="00050075" w:rsidRPr="005A04FC" w:rsidRDefault="00050075" w:rsidP="008C66F4">
      <w:pPr>
        <w:pStyle w:val="Antrats"/>
        <w:jc w:val="center"/>
        <w:rPr>
          <w:lang w:val="lt-LT"/>
        </w:rPr>
      </w:pPr>
    </w:p>
    <w:p w14:paraId="615C11A6" w14:textId="77777777" w:rsidR="00050075" w:rsidRPr="005A04FC" w:rsidRDefault="00B95255" w:rsidP="008C66F4">
      <w:pPr>
        <w:ind w:left="-567"/>
        <w:jc w:val="center"/>
        <w:outlineLvl w:val="0"/>
      </w:pPr>
      <w:r w:rsidRPr="005A04FC">
        <w:t>201</w:t>
      </w:r>
      <w:r w:rsidR="00DF7ECB" w:rsidRPr="005A04FC">
        <w:t>9</w:t>
      </w:r>
      <w:r w:rsidR="00050075" w:rsidRPr="005A04FC">
        <w:t xml:space="preserve"> m. </w:t>
      </w:r>
      <w:r w:rsidR="00DD49BC" w:rsidRPr="005A04FC">
        <w:t>rugsėjo</w:t>
      </w:r>
      <w:r w:rsidR="002F191D" w:rsidRPr="005A04FC">
        <w:t xml:space="preserve"> </w:t>
      </w:r>
      <w:r w:rsidR="00DD49BC" w:rsidRPr="005A04FC">
        <w:t>27</w:t>
      </w:r>
      <w:r w:rsidR="00050075" w:rsidRPr="005A04FC">
        <w:t xml:space="preserve"> d. Nr.</w:t>
      </w:r>
      <w:r w:rsidR="00E50E78" w:rsidRPr="005A04FC">
        <w:t xml:space="preserve"> TS-</w:t>
      </w:r>
    </w:p>
    <w:p w14:paraId="615C11A7" w14:textId="77777777" w:rsidR="00050075" w:rsidRPr="005A04FC" w:rsidRDefault="00050075" w:rsidP="008C66F4">
      <w:pPr>
        <w:jc w:val="center"/>
      </w:pPr>
      <w:r w:rsidRPr="005A04FC">
        <w:t>Rokiškis</w:t>
      </w:r>
    </w:p>
    <w:p w14:paraId="615C11A8" w14:textId="77777777" w:rsidR="00050075" w:rsidRPr="005A04FC" w:rsidRDefault="00050075" w:rsidP="008C66F4">
      <w:pPr>
        <w:jc w:val="center"/>
      </w:pPr>
    </w:p>
    <w:p w14:paraId="615C11A9" w14:textId="77777777" w:rsidR="00DD49BC" w:rsidRPr="005A04FC" w:rsidRDefault="005C5239" w:rsidP="00DD49BC">
      <w:pPr>
        <w:tabs>
          <w:tab w:val="left" w:pos="720"/>
        </w:tabs>
        <w:jc w:val="both"/>
      </w:pPr>
      <w:r w:rsidRPr="005A04FC">
        <w:tab/>
      </w:r>
      <w:r w:rsidR="00DD49BC" w:rsidRPr="005A04FC">
        <w:t xml:space="preserve">Vadovaudamasi Lietuvos Respublikos vietos savivaldos įstatymo 18 straipsnio 1 dalimi, </w:t>
      </w:r>
      <w:r w:rsidR="00DE595F" w:rsidRPr="005A04FC">
        <w:t>a</w:t>
      </w:r>
      <w:r w:rsidR="00D4680E" w:rsidRPr="005A04FC">
        <w:t>t</w:t>
      </w:r>
      <w:r w:rsidR="00DE595F" w:rsidRPr="005A04FC">
        <w:t xml:space="preserve">sižvelgdama į Rokiškio rajono savivaldybės kelių eismo saugumo komisijos 2019 m. liepos 3 d. posėdžio </w:t>
      </w:r>
      <w:r w:rsidR="00D4680E" w:rsidRPr="005A04FC">
        <w:t>sprendimą,</w:t>
      </w:r>
      <w:r w:rsidR="00DD49BC" w:rsidRPr="005A04FC">
        <w:t xml:space="preserve"> Rokiškio rajono savivaldybės taryba n u s p r e n d ž i a:</w:t>
      </w:r>
    </w:p>
    <w:p w14:paraId="615C11AA" w14:textId="77777777" w:rsidR="00DD49BC" w:rsidRPr="005A04FC" w:rsidRDefault="00DD49BC" w:rsidP="00DD49BC">
      <w:pPr>
        <w:ind w:firstLine="720"/>
        <w:jc w:val="both"/>
      </w:pPr>
      <w:r w:rsidRPr="005A04FC">
        <w:t>Papildyti Rokiškio rajono savivaldybės tarybos 2019 m. balandžio 26 d. sprendimu Nr. TS-10</w:t>
      </w:r>
      <w:r w:rsidR="00DE595F" w:rsidRPr="005A04FC">
        <w:t>3</w:t>
      </w:r>
      <w:r w:rsidRPr="005A04FC">
        <w:t xml:space="preserve"> patvirtintą </w:t>
      </w:r>
      <w:r w:rsidR="00DE595F" w:rsidRPr="005A04FC">
        <w:t>Kelių priežiūros ir plėtros programos finansavimo lėšomis finansuojamų  vietinės reikšmės viešųjų ir vidaus kelių  tiesimo, taisymo (remonto), rekonstravimo, priežiūros, saugaus eismo sąlygų užtikrinimo, šių kelių inventorizavimo 2019 metais objektų sąrašą</w:t>
      </w:r>
      <w:r w:rsidRPr="005A04FC">
        <w:t xml:space="preserve"> </w:t>
      </w:r>
      <w:r w:rsidR="00DE595F" w:rsidRPr="005A04FC">
        <w:t>49</w:t>
      </w:r>
      <w:r w:rsidRPr="005A04FC">
        <w:t xml:space="preserve"> punktu:</w:t>
      </w:r>
    </w:p>
    <w:p w14:paraId="615C11AB" w14:textId="77777777" w:rsidR="00DD49BC" w:rsidRPr="005A04FC" w:rsidRDefault="00DD49BC" w:rsidP="00DD49BC">
      <w:pPr>
        <w:ind w:firstLine="720"/>
        <w:jc w:val="both"/>
        <w:rPr>
          <w:sz w:val="16"/>
          <w:szCs w:val="16"/>
        </w:rPr>
      </w:pPr>
    </w:p>
    <w:tbl>
      <w:tblPr>
        <w:tblW w:w="10446" w:type="dxa"/>
        <w:tblInd w:w="-537" w:type="dxa"/>
        <w:tblLayout w:type="fixed"/>
        <w:tblCellMar>
          <w:left w:w="30" w:type="dxa"/>
          <w:right w:w="30" w:type="dxa"/>
        </w:tblCellMar>
        <w:tblLook w:val="00A0" w:firstRow="1" w:lastRow="0" w:firstColumn="1" w:lastColumn="0" w:noHBand="0" w:noVBand="0"/>
      </w:tblPr>
      <w:tblGrid>
        <w:gridCol w:w="415"/>
        <w:gridCol w:w="2696"/>
        <w:gridCol w:w="1284"/>
        <w:gridCol w:w="1984"/>
        <w:gridCol w:w="1418"/>
        <w:gridCol w:w="1416"/>
        <w:gridCol w:w="1233"/>
      </w:tblGrid>
      <w:tr w:rsidR="00DE595F" w:rsidRPr="0057237B" w14:paraId="615C11B3" w14:textId="77777777" w:rsidTr="00DE595F">
        <w:trPr>
          <w:trHeight w:val="305"/>
        </w:trPr>
        <w:tc>
          <w:tcPr>
            <w:tcW w:w="415" w:type="dxa"/>
            <w:tcBorders>
              <w:top w:val="single" w:sz="12" w:space="0" w:color="auto"/>
              <w:left w:val="single" w:sz="12" w:space="0" w:color="auto"/>
              <w:bottom w:val="nil"/>
              <w:right w:val="single" w:sz="6" w:space="0" w:color="auto"/>
            </w:tcBorders>
          </w:tcPr>
          <w:p w14:paraId="615C11AC" w14:textId="77777777" w:rsidR="00DE595F" w:rsidRPr="0057237B" w:rsidRDefault="00DE595F" w:rsidP="00BC6340">
            <w:pPr>
              <w:autoSpaceDE w:val="0"/>
              <w:autoSpaceDN w:val="0"/>
              <w:adjustRightInd w:val="0"/>
              <w:jc w:val="center"/>
              <w:rPr>
                <w:color w:val="000000"/>
                <w:lang w:eastAsia="en-US"/>
              </w:rPr>
            </w:pPr>
            <w:r w:rsidRPr="0057237B">
              <w:rPr>
                <w:color w:val="000000"/>
                <w:lang w:eastAsia="en-US"/>
              </w:rPr>
              <w:t>Eil. Nr.</w:t>
            </w:r>
          </w:p>
        </w:tc>
        <w:tc>
          <w:tcPr>
            <w:tcW w:w="2696" w:type="dxa"/>
            <w:tcBorders>
              <w:top w:val="single" w:sz="12" w:space="0" w:color="auto"/>
              <w:left w:val="single" w:sz="6" w:space="0" w:color="auto"/>
              <w:bottom w:val="nil"/>
              <w:right w:val="single" w:sz="6" w:space="0" w:color="auto"/>
            </w:tcBorders>
          </w:tcPr>
          <w:p w14:paraId="615C11AD" w14:textId="77777777" w:rsidR="00DE595F" w:rsidRPr="0057237B" w:rsidRDefault="00DE595F" w:rsidP="00DD49BC">
            <w:pPr>
              <w:autoSpaceDE w:val="0"/>
              <w:autoSpaceDN w:val="0"/>
              <w:adjustRightInd w:val="0"/>
              <w:jc w:val="center"/>
              <w:rPr>
                <w:color w:val="000000"/>
                <w:lang w:eastAsia="en-US"/>
              </w:rPr>
            </w:pPr>
            <w:r w:rsidRPr="0057237B">
              <w:rPr>
                <w:color w:val="000000"/>
                <w:lang w:eastAsia="en-US"/>
              </w:rPr>
              <w:t>Objekto pavadinimas</w:t>
            </w:r>
          </w:p>
          <w:p w14:paraId="615C11AE" w14:textId="77777777" w:rsidR="00DE595F" w:rsidRPr="0057237B" w:rsidRDefault="00DE595F" w:rsidP="00DD49BC">
            <w:pPr>
              <w:autoSpaceDE w:val="0"/>
              <w:autoSpaceDN w:val="0"/>
              <w:adjustRightInd w:val="0"/>
              <w:jc w:val="center"/>
              <w:rPr>
                <w:color w:val="000000"/>
                <w:lang w:eastAsia="en-US"/>
              </w:rPr>
            </w:pPr>
            <w:r w:rsidRPr="0057237B">
              <w:rPr>
                <w:color w:val="000000"/>
                <w:lang w:eastAsia="en-US"/>
              </w:rPr>
              <w:t xml:space="preserve"> </w:t>
            </w:r>
            <w:r w:rsidRPr="0057237B">
              <w:rPr>
                <w:color w:val="000000"/>
                <w:sz w:val="20"/>
                <w:szCs w:val="20"/>
                <w:lang w:eastAsia="en-US"/>
              </w:rPr>
              <w:t>(kelio Nr. ir pavadinimas savivaldybės tarybos patvirtintame vietinės reikšmės kelių sąraše)</w:t>
            </w:r>
          </w:p>
        </w:tc>
        <w:tc>
          <w:tcPr>
            <w:tcW w:w="1284" w:type="dxa"/>
            <w:tcBorders>
              <w:top w:val="single" w:sz="12" w:space="0" w:color="auto"/>
              <w:left w:val="single" w:sz="6" w:space="0" w:color="auto"/>
              <w:bottom w:val="nil"/>
              <w:right w:val="single" w:sz="6" w:space="0" w:color="auto"/>
            </w:tcBorders>
          </w:tcPr>
          <w:p w14:paraId="615C11AF" w14:textId="77777777" w:rsidR="00DE595F" w:rsidRPr="0057237B" w:rsidRDefault="00DE595F" w:rsidP="00BC6340">
            <w:pPr>
              <w:autoSpaceDE w:val="0"/>
              <w:autoSpaceDN w:val="0"/>
              <w:adjustRightInd w:val="0"/>
              <w:jc w:val="center"/>
              <w:rPr>
                <w:color w:val="000000"/>
                <w:lang w:eastAsia="en-US"/>
              </w:rPr>
            </w:pPr>
            <w:r w:rsidRPr="0057237B">
              <w:rPr>
                <w:color w:val="000000"/>
                <w:lang w:eastAsia="en-US"/>
              </w:rPr>
              <w:t>Darbų ir paslaugų rūšis</w:t>
            </w:r>
          </w:p>
        </w:tc>
        <w:tc>
          <w:tcPr>
            <w:tcW w:w="4818" w:type="dxa"/>
            <w:gridSpan w:val="3"/>
            <w:tcBorders>
              <w:top w:val="single" w:sz="12" w:space="0" w:color="auto"/>
              <w:left w:val="single" w:sz="6" w:space="0" w:color="auto"/>
              <w:bottom w:val="single" w:sz="6" w:space="0" w:color="auto"/>
              <w:right w:val="single" w:sz="6" w:space="0" w:color="auto"/>
            </w:tcBorders>
          </w:tcPr>
          <w:p w14:paraId="615C11B0" w14:textId="77777777" w:rsidR="00DE595F" w:rsidRPr="0057237B" w:rsidRDefault="00DE595F" w:rsidP="00DE595F">
            <w:pPr>
              <w:autoSpaceDE w:val="0"/>
              <w:autoSpaceDN w:val="0"/>
              <w:adjustRightInd w:val="0"/>
              <w:jc w:val="center"/>
              <w:rPr>
                <w:color w:val="000000"/>
                <w:lang w:eastAsia="en-US"/>
              </w:rPr>
            </w:pPr>
            <w:r w:rsidRPr="0057237B">
              <w:rPr>
                <w:color w:val="000000"/>
                <w:lang w:eastAsia="en-US"/>
              </w:rPr>
              <w:t>Obejkto parametrai</w:t>
            </w:r>
          </w:p>
        </w:tc>
        <w:tc>
          <w:tcPr>
            <w:tcW w:w="1233" w:type="dxa"/>
            <w:tcBorders>
              <w:top w:val="single" w:sz="12" w:space="0" w:color="auto"/>
              <w:left w:val="single" w:sz="6" w:space="0" w:color="auto"/>
              <w:bottom w:val="nil"/>
              <w:right w:val="single" w:sz="12" w:space="0" w:color="auto"/>
            </w:tcBorders>
          </w:tcPr>
          <w:p w14:paraId="615C11B1" w14:textId="77777777" w:rsidR="00DE595F" w:rsidRPr="0057237B" w:rsidRDefault="00DE595F" w:rsidP="00BC6340">
            <w:pPr>
              <w:autoSpaceDE w:val="0"/>
              <w:autoSpaceDN w:val="0"/>
              <w:adjustRightInd w:val="0"/>
              <w:jc w:val="center"/>
              <w:rPr>
                <w:color w:val="000000"/>
                <w:lang w:eastAsia="en-US"/>
              </w:rPr>
            </w:pPr>
            <w:r w:rsidRPr="0057237B">
              <w:rPr>
                <w:color w:val="000000"/>
                <w:lang w:eastAsia="en-US"/>
              </w:rPr>
              <w:t>Skirta lėšų,</w:t>
            </w:r>
          </w:p>
          <w:p w14:paraId="615C11B2" w14:textId="77777777" w:rsidR="00DE595F" w:rsidRPr="0057237B" w:rsidRDefault="00DE595F" w:rsidP="00BC6340">
            <w:pPr>
              <w:autoSpaceDE w:val="0"/>
              <w:autoSpaceDN w:val="0"/>
              <w:adjustRightInd w:val="0"/>
              <w:jc w:val="center"/>
              <w:rPr>
                <w:color w:val="000000"/>
                <w:lang w:eastAsia="en-US"/>
              </w:rPr>
            </w:pPr>
            <w:r w:rsidRPr="0057237B">
              <w:rPr>
                <w:color w:val="000000"/>
                <w:lang w:eastAsia="en-US"/>
              </w:rPr>
              <w:t>tūkst. Eur</w:t>
            </w:r>
          </w:p>
        </w:tc>
      </w:tr>
      <w:tr w:rsidR="00DD49BC" w:rsidRPr="0057237B" w14:paraId="615C11BB" w14:textId="77777777" w:rsidTr="00DE595F">
        <w:trPr>
          <w:trHeight w:val="364"/>
        </w:trPr>
        <w:tc>
          <w:tcPr>
            <w:tcW w:w="415" w:type="dxa"/>
            <w:tcBorders>
              <w:top w:val="nil"/>
              <w:left w:val="single" w:sz="12" w:space="0" w:color="auto"/>
              <w:bottom w:val="single" w:sz="6" w:space="0" w:color="auto"/>
              <w:right w:val="single" w:sz="6" w:space="0" w:color="auto"/>
            </w:tcBorders>
          </w:tcPr>
          <w:p w14:paraId="615C11B4" w14:textId="77777777" w:rsidR="00DD49BC" w:rsidRPr="0057237B" w:rsidRDefault="00DD49BC" w:rsidP="00BC6340">
            <w:pPr>
              <w:autoSpaceDE w:val="0"/>
              <w:autoSpaceDN w:val="0"/>
              <w:adjustRightInd w:val="0"/>
              <w:jc w:val="center"/>
              <w:rPr>
                <w:color w:val="000000"/>
                <w:lang w:eastAsia="en-US"/>
              </w:rPr>
            </w:pPr>
          </w:p>
        </w:tc>
        <w:tc>
          <w:tcPr>
            <w:tcW w:w="2696" w:type="dxa"/>
            <w:tcBorders>
              <w:top w:val="nil"/>
              <w:left w:val="single" w:sz="6" w:space="0" w:color="auto"/>
              <w:bottom w:val="single" w:sz="6" w:space="0" w:color="auto"/>
              <w:right w:val="single" w:sz="6" w:space="0" w:color="auto"/>
            </w:tcBorders>
          </w:tcPr>
          <w:p w14:paraId="615C11B5" w14:textId="77777777" w:rsidR="00DD49BC" w:rsidRPr="0057237B" w:rsidRDefault="00DD49BC" w:rsidP="00BC6340">
            <w:pPr>
              <w:autoSpaceDE w:val="0"/>
              <w:autoSpaceDN w:val="0"/>
              <w:adjustRightInd w:val="0"/>
              <w:jc w:val="center"/>
              <w:rPr>
                <w:color w:val="000000"/>
                <w:lang w:eastAsia="en-US"/>
              </w:rPr>
            </w:pPr>
          </w:p>
        </w:tc>
        <w:tc>
          <w:tcPr>
            <w:tcW w:w="1284" w:type="dxa"/>
            <w:tcBorders>
              <w:top w:val="nil"/>
              <w:left w:val="single" w:sz="6" w:space="0" w:color="auto"/>
              <w:bottom w:val="single" w:sz="6" w:space="0" w:color="auto"/>
              <w:right w:val="single" w:sz="6" w:space="0" w:color="auto"/>
            </w:tcBorders>
          </w:tcPr>
          <w:p w14:paraId="615C11B6" w14:textId="77777777" w:rsidR="00DD49BC" w:rsidRPr="0057237B" w:rsidRDefault="00DD49BC" w:rsidP="00BC6340">
            <w:pPr>
              <w:autoSpaceDE w:val="0"/>
              <w:autoSpaceDN w:val="0"/>
              <w:adjustRightInd w:val="0"/>
              <w:jc w:val="center"/>
              <w:rPr>
                <w:color w:val="000000"/>
                <w:lang w:eastAsia="en-US"/>
              </w:rPr>
            </w:pPr>
          </w:p>
        </w:tc>
        <w:tc>
          <w:tcPr>
            <w:tcW w:w="1984" w:type="dxa"/>
            <w:tcBorders>
              <w:top w:val="single" w:sz="6" w:space="0" w:color="auto"/>
              <w:left w:val="single" w:sz="6" w:space="0" w:color="auto"/>
              <w:bottom w:val="single" w:sz="6" w:space="0" w:color="auto"/>
              <w:right w:val="single" w:sz="6" w:space="0" w:color="auto"/>
            </w:tcBorders>
          </w:tcPr>
          <w:p w14:paraId="615C11B7"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Pradžia</w:t>
            </w:r>
            <w:r w:rsidR="004A1CA0" w:rsidRPr="0057237B">
              <w:t xml:space="preserve"> - </w:t>
            </w:r>
            <w:r w:rsidRPr="0057237B">
              <w:rPr>
                <w:color w:val="000000"/>
                <w:lang w:eastAsia="en-US"/>
              </w:rPr>
              <w:t>pabaiga</w:t>
            </w:r>
          </w:p>
        </w:tc>
        <w:tc>
          <w:tcPr>
            <w:tcW w:w="1418" w:type="dxa"/>
            <w:tcBorders>
              <w:top w:val="single" w:sz="6" w:space="0" w:color="auto"/>
              <w:left w:val="single" w:sz="6" w:space="0" w:color="auto"/>
              <w:bottom w:val="single" w:sz="6" w:space="0" w:color="auto"/>
              <w:right w:val="single" w:sz="6" w:space="0" w:color="auto"/>
            </w:tcBorders>
          </w:tcPr>
          <w:p w14:paraId="615C11B8"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Ilgis, m</w:t>
            </w:r>
          </w:p>
        </w:tc>
        <w:tc>
          <w:tcPr>
            <w:tcW w:w="1416" w:type="dxa"/>
            <w:tcBorders>
              <w:top w:val="single" w:sz="6" w:space="0" w:color="auto"/>
              <w:left w:val="single" w:sz="6" w:space="0" w:color="auto"/>
              <w:bottom w:val="single" w:sz="6" w:space="0" w:color="auto"/>
              <w:right w:val="single" w:sz="6" w:space="0" w:color="auto"/>
            </w:tcBorders>
          </w:tcPr>
          <w:p w14:paraId="615C11B9"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 xml:space="preserve">Plotis, m </w:t>
            </w:r>
          </w:p>
        </w:tc>
        <w:tc>
          <w:tcPr>
            <w:tcW w:w="1233" w:type="dxa"/>
            <w:tcBorders>
              <w:top w:val="nil"/>
              <w:left w:val="single" w:sz="6" w:space="0" w:color="auto"/>
              <w:bottom w:val="single" w:sz="6" w:space="0" w:color="auto"/>
              <w:right w:val="single" w:sz="12" w:space="0" w:color="auto"/>
            </w:tcBorders>
          </w:tcPr>
          <w:p w14:paraId="615C11BA" w14:textId="77777777" w:rsidR="00DD49BC" w:rsidRPr="0057237B" w:rsidRDefault="00DD49BC" w:rsidP="00BC6340">
            <w:pPr>
              <w:autoSpaceDE w:val="0"/>
              <w:autoSpaceDN w:val="0"/>
              <w:adjustRightInd w:val="0"/>
              <w:jc w:val="center"/>
              <w:rPr>
                <w:color w:val="000000"/>
                <w:lang w:eastAsia="en-US"/>
              </w:rPr>
            </w:pPr>
          </w:p>
        </w:tc>
      </w:tr>
      <w:tr w:rsidR="00DD49BC" w:rsidRPr="0057237B" w14:paraId="615C11C3" w14:textId="77777777" w:rsidTr="00DD49BC">
        <w:trPr>
          <w:trHeight w:val="305"/>
        </w:trPr>
        <w:tc>
          <w:tcPr>
            <w:tcW w:w="415" w:type="dxa"/>
            <w:tcBorders>
              <w:top w:val="single" w:sz="6" w:space="0" w:color="auto"/>
              <w:left w:val="single" w:sz="12" w:space="0" w:color="auto"/>
              <w:bottom w:val="single" w:sz="6" w:space="0" w:color="auto"/>
              <w:right w:val="single" w:sz="6" w:space="0" w:color="auto"/>
            </w:tcBorders>
          </w:tcPr>
          <w:p w14:paraId="615C11BC"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1</w:t>
            </w:r>
          </w:p>
        </w:tc>
        <w:tc>
          <w:tcPr>
            <w:tcW w:w="2696" w:type="dxa"/>
            <w:tcBorders>
              <w:top w:val="single" w:sz="6" w:space="0" w:color="auto"/>
              <w:left w:val="single" w:sz="6" w:space="0" w:color="auto"/>
              <w:bottom w:val="single" w:sz="6" w:space="0" w:color="auto"/>
              <w:right w:val="single" w:sz="6" w:space="0" w:color="auto"/>
            </w:tcBorders>
          </w:tcPr>
          <w:p w14:paraId="615C11BD"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2</w:t>
            </w:r>
          </w:p>
        </w:tc>
        <w:tc>
          <w:tcPr>
            <w:tcW w:w="1284" w:type="dxa"/>
            <w:tcBorders>
              <w:top w:val="single" w:sz="6" w:space="0" w:color="auto"/>
              <w:left w:val="single" w:sz="6" w:space="0" w:color="auto"/>
              <w:bottom w:val="single" w:sz="6" w:space="0" w:color="auto"/>
              <w:right w:val="single" w:sz="6" w:space="0" w:color="auto"/>
            </w:tcBorders>
          </w:tcPr>
          <w:p w14:paraId="615C11BE"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3</w:t>
            </w:r>
          </w:p>
        </w:tc>
        <w:tc>
          <w:tcPr>
            <w:tcW w:w="1984" w:type="dxa"/>
            <w:tcBorders>
              <w:top w:val="single" w:sz="6" w:space="0" w:color="auto"/>
              <w:left w:val="single" w:sz="6" w:space="0" w:color="auto"/>
              <w:bottom w:val="single" w:sz="6" w:space="0" w:color="auto"/>
              <w:right w:val="single" w:sz="6" w:space="0" w:color="auto"/>
            </w:tcBorders>
          </w:tcPr>
          <w:p w14:paraId="615C11BF"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tcPr>
          <w:p w14:paraId="615C11C0"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5</w:t>
            </w:r>
          </w:p>
        </w:tc>
        <w:tc>
          <w:tcPr>
            <w:tcW w:w="1416" w:type="dxa"/>
            <w:tcBorders>
              <w:top w:val="single" w:sz="6" w:space="0" w:color="auto"/>
              <w:left w:val="single" w:sz="6" w:space="0" w:color="auto"/>
              <w:bottom w:val="single" w:sz="6" w:space="0" w:color="auto"/>
              <w:right w:val="single" w:sz="6" w:space="0" w:color="auto"/>
            </w:tcBorders>
          </w:tcPr>
          <w:p w14:paraId="615C11C1"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6</w:t>
            </w:r>
          </w:p>
        </w:tc>
        <w:tc>
          <w:tcPr>
            <w:tcW w:w="1233" w:type="dxa"/>
            <w:tcBorders>
              <w:top w:val="single" w:sz="6" w:space="0" w:color="auto"/>
              <w:left w:val="single" w:sz="6" w:space="0" w:color="auto"/>
              <w:bottom w:val="single" w:sz="6" w:space="0" w:color="auto"/>
              <w:right w:val="single" w:sz="12" w:space="0" w:color="auto"/>
            </w:tcBorders>
          </w:tcPr>
          <w:p w14:paraId="615C11C2" w14:textId="77777777" w:rsidR="00DD49BC" w:rsidRPr="0057237B" w:rsidRDefault="00DD49BC" w:rsidP="00BC6340">
            <w:pPr>
              <w:autoSpaceDE w:val="0"/>
              <w:autoSpaceDN w:val="0"/>
              <w:adjustRightInd w:val="0"/>
              <w:jc w:val="center"/>
              <w:rPr>
                <w:color w:val="000000"/>
                <w:lang w:eastAsia="en-US"/>
              </w:rPr>
            </w:pPr>
            <w:r w:rsidRPr="0057237B">
              <w:rPr>
                <w:color w:val="000000"/>
                <w:lang w:eastAsia="en-US"/>
              </w:rPr>
              <w:t>7</w:t>
            </w:r>
          </w:p>
        </w:tc>
      </w:tr>
      <w:tr w:rsidR="00DD49BC" w:rsidRPr="0057237B" w14:paraId="615C11CD" w14:textId="77777777" w:rsidTr="00DE595F">
        <w:trPr>
          <w:trHeight w:val="305"/>
        </w:trPr>
        <w:tc>
          <w:tcPr>
            <w:tcW w:w="415" w:type="dxa"/>
            <w:tcBorders>
              <w:top w:val="single" w:sz="6" w:space="0" w:color="auto"/>
              <w:left w:val="single" w:sz="12" w:space="0" w:color="auto"/>
              <w:bottom w:val="single" w:sz="6" w:space="0" w:color="auto"/>
              <w:right w:val="single" w:sz="6" w:space="0" w:color="auto"/>
            </w:tcBorders>
            <w:vAlign w:val="center"/>
          </w:tcPr>
          <w:p w14:paraId="615C11C4" w14:textId="77777777" w:rsidR="00DD49BC" w:rsidRPr="0057237B" w:rsidRDefault="00DD49BC" w:rsidP="00DE595F">
            <w:pPr>
              <w:autoSpaceDE w:val="0"/>
              <w:autoSpaceDN w:val="0"/>
              <w:adjustRightInd w:val="0"/>
              <w:jc w:val="center"/>
              <w:rPr>
                <w:color w:val="000000"/>
                <w:lang w:eastAsia="en-US"/>
              </w:rPr>
            </w:pPr>
            <w:r w:rsidRPr="0057237B">
              <w:rPr>
                <w:color w:val="000000"/>
                <w:lang w:eastAsia="en-US"/>
              </w:rPr>
              <w:t>49</w:t>
            </w:r>
          </w:p>
        </w:tc>
        <w:tc>
          <w:tcPr>
            <w:tcW w:w="2696" w:type="dxa"/>
            <w:tcBorders>
              <w:top w:val="single" w:sz="6" w:space="0" w:color="auto"/>
              <w:left w:val="single" w:sz="6" w:space="0" w:color="auto"/>
              <w:bottom w:val="single" w:sz="6" w:space="0" w:color="auto"/>
              <w:right w:val="single" w:sz="6" w:space="0" w:color="auto"/>
            </w:tcBorders>
            <w:vAlign w:val="center"/>
          </w:tcPr>
          <w:p w14:paraId="615C11C5" w14:textId="77777777" w:rsidR="00DD49BC" w:rsidRPr="0057237B" w:rsidRDefault="00DD49BC" w:rsidP="00DE595F">
            <w:pPr>
              <w:autoSpaceDE w:val="0"/>
              <w:autoSpaceDN w:val="0"/>
              <w:adjustRightInd w:val="0"/>
              <w:rPr>
                <w:color w:val="000000"/>
                <w:lang w:eastAsia="en-US"/>
              </w:rPr>
            </w:pPr>
            <w:r w:rsidRPr="0057237B">
              <w:t>Rokiškio miesto Vilties gatvė (Nr. RMG-100, iškiliosios pėsčiųjų perėjos)</w:t>
            </w:r>
          </w:p>
        </w:tc>
        <w:tc>
          <w:tcPr>
            <w:tcW w:w="1284" w:type="dxa"/>
            <w:tcBorders>
              <w:top w:val="single" w:sz="6" w:space="0" w:color="auto"/>
              <w:left w:val="single" w:sz="6" w:space="0" w:color="auto"/>
              <w:bottom w:val="single" w:sz="6" w:space="0" w:color="auto"/>
              <w:right w:val="single" w:sz="6" w:space="0" w:color="auto"/>
            </w:tcBorders>
            <w:vAlign w:val="center"/>
          </w:tcPr>
          <w:p w14:paraId="615C11C6" w14:textId="683DBA1B" w:rsidR="00DD49BC" w:rsidRPr="0057237B" w:rsidRDefault="0057237B" w:rsidP="0057237B">
            <w:pPr>
              <w:autoSpaceDE w:val="0"/>
              <w:autoSpaceDN w:val="0"/>
              <w:adjustRightInd w:val="0"/>
              <w:jc w:val="center"/>
              <w:rPr>
                <w:color w:val="000000"/>
                <w:lang w:eastAsia="en-US"/>
              </w:rPr>
            </w:pPr>
            <w:r>
              <w:rPr>
                <w:color w:val="000000"/>
                <w:lang w:eastAsia="en-US"/>
              </w:rPr>
              <w:t>P</w:t>
            </w:r>
            <w:r w:rsidR="00DD49BC" w:rsidRPr="0057237B">
              <w:rPr>
                <w:color w:val="000000"/>
                <w:lang w:eastAsia="en-US"/>
              </w:rPr>
              <w:t>aprastasis remontas</w:t>
            </w:r>
          </w:p>
        </w:tc>
        <w:tc>
          <w:tcPr>
            <w:tcW w:w="1984" w:type="dxa"/>
            <w:tcBorders>
              <w:top w:val="single" w:sz="6" w:space="0" w:color="auto"/>
              <w:left w:val="single" w:sz="6" w:space="0" w:color="auto"/>
              <w:bottom w:val="single" w:sz="6" w:space="0" w:color="auto"/>
              <w:right w:val="single" w:sz="6" w:space="0" w:color="auto"/>
            </w:tcBorders>
            <w:vAlign w:val="center"/>
          </w:tcPr>
          <w:p w14:paraId="615C11C7" w14:textId="77777777" w:rsidR="00DD49BC" w:rsidRPr="0057237B" w:rsidRDefault="00DE595F" w:rsidP="00DE595F">
            <w:pPr>
              <w:autoSpaceDE w:val="0"/>
              <w:autoSpaceDN w:val="0"/>
              <w:adjustRightInd w:val="0"/>
              <w:jc w:val="center"/>
              <w:rPr>
                <w:color w:val="000000"/>
                <w:lang w:eastAsia="en-US"/>
              </w:rPr>
            </w:pPr>
            <w:r w:rsidRPr="0057237B">
              <w:rPr>
                <w:color w:val="000000"/>
                <w:sz w:val="22"/>
                <w:szCs w:val="22"/>
                <w:lang w:eastAsia="en-US"/>
              </w:rPr>
              <w:t>6202679, 598570             6202378, 598764</w:t>
            </w:r>
          </w:p>
        </w:tc>
        <w:tc>
          <w:tcPr>
            <w:tcW w:w="1418" w:type="dxa"/>
            <w:tcBorders>
              <w:top w:val="single" w:sz="6" w:space="0" w:color="auto"/>
              <w:left w:val="single" w:sz="6" w:space="0" w:color="auto"/>
              <w:bottom w:val="single" w:sz="6" w:space="0" w:color="auto"/>
              <w:right w:val="single" w:sz="6" w:space="0" w:color="auto"/>
            </w:tcBorders>
            <w:vAlign w:val="center"/>
          </w:tcPr>
          <w:p w14:paraId="615C11C8" w14:textId="77777777" w:rsidR="00DE595F" w:rsidRPr="0057237B" w:rsidRDefault="00DE595F" w:rsidP="00DE595F">
            <w:pPr>
              <w:autoSpaceDE w:val="0"/>
              <w:autoSpaceDN w:val="0"/>
              <w:adjustRightInd w:val="0"/>
              <w:jc w:val="center"/>
              <w:rPr>
                <w:color w:val="000000"/>
                <w:lang w:eastAsia="en-US"/>
              </w:rPr>
            </w:pPr>
            <w:r w:rsidRPr="0057237B">
              <w:rPr>
                <w:color w:val="000000"/>
                <w:lang w:eastAsia="en-US"/>
              </w:rPr>
              <w:t>9</w:t>
            </w:r>
          </w:p>
          <w:p w14:paraId="615C11C9" w14:textId="77777777" w:rsidR="00DD49BC" w:rsidRPr="0057237B" w:rsidRDefault="00DE595F" w:rsidP="00DE595F">
            <w:pPr>
              <w:jc w:val="center"/>
              <w:rPr>
                <w:lang w:eastAsia="en-US"/>
              </w:rPr>
            </w:pPr>
            <w:r w:rsidRPr="0057237B">
              <w:rPr>
                <w:color w:val="000000"/>
                <w:lang w:eastAsia="en-US"/>
              </w:rPr>
              <w:t>9</w:t>
            </w:r>
          </w:p>
        </w:tc>
        <w:tc>
          <w:tcPr>
            <w:tcW w:w="1416" w:type="dxa"/>
            <w:tcBorders>
              <w:top w:val="single" w:sz="6" w:space="0" w:color="auto"/>
              <w:left w:val="single" w:sz="6" w:space="0" w:color="auto"/>
              <w:bottom w:val="single" w:sz="6" w:space="0" w:color="auto"/>
              <w:right w:val="single" w:sz="6" w:space="0" w:color="auto"/>
            </w:tcBorders>
            <w:vAlign w:val="center"/>
          </w:tcPr>
          <w:p w14:paraId="615C11CA" w14:textId="77777777" w:rsidR="00DD49BC" w:rsidRPr="0057237B" w:rsidRDefault="00DE595F" w:rsidP="00DE595F">
            <w:pPr>
              <w:jc w:val="center"/>
              <w:rPr>
                <w:color w:val="000000"/>
                <w:lang w:eastAsia="en-US"/>
              </w:rPr>
            </w:pPr>
            <w:r w:rsidRPr="0057237B">
              <w:rPr>
                <w:color w:val="000000"/>
                <w:lang w:eastAsia="en-US"/>
              </w:rPr>
              <w:t>7,5</w:t>
            </w:r>
          </w:p>
          <w:p w14:paraId="615C11CB" w14:textId="77777777" w:rsidR="00DE595F" w:rsidRPr="0057237B" w:rsidRDefault="00DE595F" w:rsidP="00DE595F">
            <w:pPr>
              <w:jc w:val="center"/>
              <w:rPr>
                <w:lang w:eastAsia="en-US"/>
              </w:rPr>
            </w:pPr>
            <w:r w:rsidRPr="0057237B">
              <w:rPr>
                <w:color w:val="000000"/>
                <w:lang w:eastAsia="en-US"/>
              </w:rPr>
              <w:t>7,5</w:t>
            </w:r>
          </w:p>
        </w:tc>
        <w:tc>
          <w:tcPr>
            <w:tcW w:w="1233" w:type="dxa"/>
            <w:tcBorders>
              <w:top w:val="single" w:sz="6" w:space="0" w:color="auto"/>
              <w:left w:val="single" w:sz="6" w:space="0" w:color="auto"/>
              <w:bottom w:val="single" w:sz="6" w:space="0" w:color="auto"/>
              <w:right w:val="single" w:sz="12" w:space="0" w:color="auto"/>
            </w:tcBorders>
            <w:vAlign w:val="center"/>
          </w:tcPr>
          <w:p w14:paraId="615C11CC" w14:textId="77777777" w:rsidR="00DD49BC" w:rsidRPr="0057237B" w:rsidRDefault="00DD49BC" w:rsidP="00DE595F">
            <w:pPr>
              <w:autoSpaceDE w:val="0"/>
              <w:autoSpaceDN w:val="0"/>
              <w:adjustRightInd w:val="0"/>
              <w:jc w:val="center"/>
              <w:rPr>
                <w:color w:val="000000"/>
                <w:lang w:eastAsia="en-US"/>
              </w:rPr>
            </w:pPr>
            <w:r w:rsidRPr="0057237B">
              <w:rPr>
                <w:color w:val="000000"/>
                <w:lang w:eastAsia="en-US"/>
              </w:rPr>
              <w:t>6,7</w:t>
            </w:r>
          </w:p>
        </w:tc>
      </w:tr>
    </w:tbl>
    <w:p w14:paraId="615C11CE" w14:textId="77777777" w:rsidR="00DD49BC" w:rsidRPr="005A04FC" w:rsidRDefault="00DD49BC" w:rsidP="00DD49BC">
      <w:pPr>
        <w:tabs>
          <w:tab w:val="left" w:pos="720"/>
        </w:tabs>
        <w:jc w:val="both"/>
        <w:rPr>
          <w:rFonts w:eastAsia="Calibri"/>
          <w:sz w:val="16"/>
          <w:szCs w:val="16"/>
        </w:rPr>
      </w:pPr>
    </w:p>
    <w:p w14:paraId="615C11CF" w14:textId="77777777" w:rsidR="00050075" w:rsidRPr="005A04FC" w:rsidRDefault="008E1647" w:rsidP="00DE595F">
      <w:pPr>
        <w:tabs>
          <w:tab w:val="left" w:pos="720"/>
        </w:tabs>
        <w:ind w:firstLine="709"/>
        <w:jc w:val="both"/>
        <w:rPr>
          <w:rFonts w:eastAsia="Calibri"/>
        </w:rPr>
      </w:pPr>
      <w:r w:rsidRPr="005A04FC">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615C11D0" w14:textId="77777777" w:rsidR="008E1647" w:rsidRDefault="008E1647" w:rsidP="00D74466">
      <w:pPr>
        <w:jc w:val="both"/>
      </w:pPr>
    </w:p>
    <w:p w14:paraId="615C11D1" w14:textId="77777777" w:rsidR="008F7084" w:rsidRPr="005A04FC" w:rsidRDefault="008F7084" w:rsidP="00D74466">
      <w:pPr>
        <w:jc w:val="both"/>
      </w:pPr>
    </w:p>
    <w:p w14:paraId="615C11D2" w14:textId="77777777" w:rsidR="00D4680E" w:rsidRPr="005A04FC" w:rsidRDefault="00D4680E" w:rsidP="00D74466">
      <w:pPr>
        <w:jc w:val="both"/>
      </w:pPr>
    </w:p>
    <w:p w14:paraId="615C11D3" w14:textId="77777777" w:rsidR="00DE595F" w:rsidRPr="005A04FC" w:rsidRDefault="00DF7ECB" w:rsidP="00D74466">
      <w:pPr>
        <w:jc w:val="both"/>
      </w:pPr>
      <w:r w:rsidRPr="005A04FC">
        <w:t>Savivaldyb</w:t>
      </w:r>
      <w:r w:rsidR="00DE595F" w:rsidRPr="005A04FC">
        <w:t>ės meras</w:t>
      </w:r>
      <w:r w:rsidR="00DE595F" w:rsidRPr="005A04FC">
        <w:tab/>
      </w:r>
      <w:r w:rsidR="00DE595F" w:rsidRPr="005A04FC">
        <w:tab/>
      </w:r>
      <w:r w:rsidR="00DE595F" w:rsidRPr="005A04FC">
        <w:tab/>
      </w:r>
      <w:r w:rsidR="00DE595F" w:rsidRPr="005A04FC">
        <w:tab/>
        <w:t>Ramūnas Godeliauskas</w:t>
      </w:r>
    </w:p>
    <w:p w14:paraId="615C11D4" w14:textId="77777777" w:rsidR="00DE595F" w:rsidRPr="005A04FC" w:rsidRDefault="00DE595F" w:rsidP="006527A8">
      <w:pPr>
        <w:jc w:val="both"/>
      </w:pPr>
    </w:p>
    <w:p w14:paraId="615C11D5" w14:textId="77777777" w:rsidR="00D4680E" w:rsidRPr="005A04FC" w:rsidRDefault="00D4680E" w:rsidP="006527A8">
      <w:pPr>
        <w:jc w:val="both"/>
      </w:pPr>
    </w:p>
    <w:p w14:paraId="615C11D6" w14:textId="77777777" w:rsidR="00D4680E" w:rsidRPr="005A04FC" w:rsidRDefault="00D4680E" w:rsidP="006527A8">
      <w:pPr>
        <w:jc w:val="both"/>
      </w:pPr>
    </w:p>
    <w:p w14:paraId="615C11D7" w14:textId="77777777" w:rsidR="00D4680E" w:rsidRPr="005A04FC" w:rsidRDefault="00D4680E" w:rsidP="006527A8">
      <w:pPr>
        <w:jc w:val="both"/>
      </w:pPr>
    </w:p>
    <w:p w14:paraId="615C11D8" w14:textId="77777777" w:rsidR="00D4680E" w:rsidRPr="005A04FC" w:rsidRDefault="00D4680E" w:rsidP="006527A8">
      <w:pPr>
        <w:jc w:val="both"/>
      </w:pPr>
    </w:p>
    <w:p w14:paraId="615C11D9" w14:textId="77777777" w:rsidR="00BF5587" w:rsidRPr="005A04FC" w:rsidRDefault="00BF5587" w:rsidP="006527A8">
      <w:pPr>
        <w:jc w:val="both"/>
      </w:pPr>
    </w:p>
    <w:p w14:paraId="615C11DA" w14:textId="77777777" w:rsidR="00D4680E" w:rsidRPr="005A04FC" w:rsidRDefault="00D4680E" w:rsidP="006527A8">
      <w:pPr>
        <w:jc w:val="both"/>
      </w:pPr>
    </w:p>
    <w:p w14:paraId="615C11DB" w14:textId="77777777" w:rsidR="00492E6A" w:rsidRPr="005A04FC" w:rsidRDefault="001D0AD6" w:rsidP="006527A8">
      <w:pPr>
        <w:jc w:val="both"/>
      </w:pPr>
      <w:r w:rsidRPr="005A04FC">
        <w:t>Augustinas Blažys</w:t>
      </w:r>
    </w:p>
    <w:p w14:paraId="615C11DC" w14:textId="77777777" w:rsidR="00050075" w:rsidRPr="005A04FC" w:rsidRDefault="00492E6A" w:rsidP="002559E4">
      <w:pPr>
        <w:pStyle w:val="Antrats"/>
        <w:jc w:val="center"/>
        <w:rPr>
          <w:b/>
          <w:sz w:val="24"/>
          <w:szCs w:val="24"/>
          <w:lang w:val="lt-LT"/>
        </w:rPr>
      </w:pPr>
      <w:r w:rsidRPr="005A04FC">
        <w:rPr>
          <w:b/>
          <w:sz w:val="24"/>
          <w:szCs w:val="24"/>
          <w:lang w:val="lt-LT"/>
        </w:rPr>
        <w:lastRenderedPageBreak/>
        <w:t>TEIKIAMO SPRENDIMO PROJEKTO</w:t>
      </w:r>
    </w:p>
    <w:p w14:paraId="615C11DD" w14:textId="77777777" w:rsidR="00D4680E" w:rsidRPr="005A04FC" w:rsidRDefault="00D4680E" w:rsidP="00D4680E">
      <w:pPr>
        <w:pStyle w:val="Antrats"/>
        <w:jc w:val="center"/>
        <w:rPr>
          <w:b/>
          <w:sz w:val="24"/>
          <w:szCs w:val="24"/>
          <w:lang w:val="lt-LT"/>
        </w:rPr>
      </w:pPr>
      <w:r w:rsidRPr="005A04FC">
        <w:rPr>
          <w:b/>
          <w:sz w:val="24"/>
          <w:szCs w:val="24"/>
          <w:lang w:val="lt-LT"/>
        </w:rPr>
        <w:t>DĖL ROKIŠKIO RAJONO SAVIVALDYBĖS TARYBOS 2019 M. BALANDŽIO 26 D. SPRENDIMO NR. TS-103 „DĖL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 PAPILDYMO</w:t>
      </w:r>
    </w:p>
    <w:p w14:paraId="615C11DE" w14:textId="77777777" w:rsidR="00050075" w:rsidRPr="005A04FC" w:rsidRDefault="00492E6A" w:rsidP="00E00CA3">
      <w:pPr>
        <w:pStyle w:val="Antrats"/>
        <w:jc w:val="center"/>
        <w:rPr>
          <w:b/>
          <w:sz w:val="24"/>
          <w:szCs w:val="24"/>
          <w:lang w:val="lt-LT"/>
        </w:rPr>
      </w:pPr>
      <w:r w:rsidRPr="005A04FC">
        <w:rPr>
          <w:b/>
          <w:sz w:val="24"/>
          <w:szCs w:val="24"/>
          <w:lang w:val="lt-LT"/>
        </w:rPr>
        <w:t>AIŠKINAMASIS RAŠTAS</w:t>
      </w:r>
    </w:p>
    <w:p w14:paraId="615C11DF" w14:textId="77777777" w:rsidR="00050075" w:rsidRPr="005A04FC" w:rsidRDefault="00050075" w:rsidP="00E00CA3">
      <w:pPr>
        <w:pStyle w:val="Antrats"/>
        <w:jc w:val="center"/>
        <w:rPr>
          <w:b/>
          <w:sz w:val="24"/>
          <w:szCs w:val="24"/>
          <w:lang w:val="lt-LT"/>
        </w:rPr>
      </w:pPr>
    </w:p>
    <w:p w14:paraId="615C11E0" w14:textId="77777777" w:rsidR="00050075" w:rsidRPr="005A04FC" w:rsidRDefault="001D0AD6" w:rsidP="00CA7D60">
      <w:pPr>
        <w:jc w:val="center"/>
      </w:pPr>
      <w:r w:rsidRPr="005A04FC">
        <w:t>201</w:t>
      </w:r>
      <w:r w:rsidR="006D1050" w:rsidRPr="005A04FC">
        <w:t>9</w:t>
      </w:r>
      <w:r w:rsidR="00050075" w:rsidRPr="005A04FC">
        <w:t xml:space="preserve"> m. </w:t>
      </w:r>
      <w:r w:rsidR="00D4680E" w:rsidRPr="005A04FC">
        <w:t>rugsėjo</w:t>
      </w:r>
      <w:r w:rsidR="001F1094" w:rsidRPr="005A04FC">
        <w:t xml:space="preserve"> </w:t>
      </w:r>
      <w:r w:rsidR="00D506A4">
        <w:t>12</w:t>
      </w:r>
      <w:r w:rsidR="00050075" w:rsidRPr="005A04FC">
        <w:t xml:space="preserve"> d.</w:t>
      </w:r>
    </w:p>
    <w:p w14:paraId="615C11E1" w14:textId="77777777" w:rsidR="00050075" w:rsidRPr="005A04FC" w:rsidRDefault="00050075" w:rsidP="00E949DF">
      <w:pPr>
        <w:jc w:val="center"/>
      </w:pPr>
      <w:r w:rsidRPr="005A04FC">
        <w:t>Rokiškis</w:t>
      </w:r>
    </w:p>
    <w:p w14:paraId="615C11E2" w14:textId="77777777" w:rsidR="00050075" w:rsidRPr="005A04FC" w:rsidRDefault="00050075" w:rsidP="00E949DF">
      <w:pPr>
        <w:jc w:val="both"/>
      </w:pPr>
    </w:p>
    <w:p w14:paraId="615C11E3" w14:textId="77777777" w:rsidR="00050075" w:rsidRPr="005A04FC" w:rsidRDefault="00050075" w:rsidP="00492E6A">
      <w:pPr>
        <w:ind w:firstLine="709"/>
        <w:jc w:val="both"/>
        <w:rPr>
          <w:b/>
        </w:rPr>
      </w:pPr>
      <w:r w:rsidRPr="005A04FC">
        <w:rPr>
          <w:b/>
        </w:rPr>
        <w:t>Parengto</w:t>
      </w:r>
      <w:r w:rsidR="0003081D" w:rsidRPr="005A04FC">
        <w:rPr>
          <w:b/>
        </w:rPr>
        <w:t xml:space="preserve"> projekto tikslai ir uždaviniai</w:t>
      </w:r>
      <w:r w:rsidR="00492E6A" w:rsidRPr="005A04FC">
        <w:rPr>
          <w:b/>
        </w:rPr>
        <w:t xml:space="preserve">. </w:t>
      </w:r>
      <w:r w:rsidR="00D4680E" w:rsidRPr="005A04FC">
        <w:t>Šiuo sprendimo projektu siūloma papildyti Kelių priežiūros ir plėtros programos finansavimo lėšomis finansuojamų  vietinės reikšmės viešųjų ir vidaus kelių  tiesimo, taisymo (remonto), rekonstravimo, priežiūros, saugaus eismo sąlygų užtikrinimo, šių kelių inventorizavimo 2019 metais objektų sąrašą, įtraukiant papildomą objektą.</w:t>
      </w:r>
    </w:p>
    <w:p w14:paraId="615C11E4" w14:textId="77777777" w:rsidR="00296366" w:rsidRPr="005A04FC" w:rsidRDefault="00050075" w:rsidP="00492E6A">
      <w:pPr>
        <w:ind w:firstLine="709"/>
        <w:jc w:val="both"/>
        <w:rPr>
          <w:bCs/>
        </w:rPr>
      </w:pPr>
      <w:r w:rsidRPr="005A04FC">
        <w:rPr>
          <w:b/>
        </w:rPr>
        <w:t>Šiuo metu e</w:t>
      </w:r>
      <w:r w:rsidR="0003081D" w:rsidRPr="005A04FC">
        <w:rPr>
          <w:b/>
        </w:rPr>
        <w:t>santis teisinis reglamentavimas</w:t>
      </w:r>
      <w:r w:rsidR="00492E6A" w:rsidRPr="005A04FC">
        <w:rPr>
          <w:b/>
        </w:rPr>
        <w:t xml:space="preserve">. </w:t>
      </w:r>
      <w:r w:rsidR="00296366" w:rsidRPr="005A04FC">
        <w:t>Lietuvos Respublikos Vyriausybės 2018 m. gruodžio 27 d. nutarimas Nr. 1395 „Dėl Kelių priežiūros ir plėtros programos finansavimo lėšų naudojimo 2019 metų sąmatos patvirtinimo“, Lietuvos automobilių kelių direkcijos prie Susisiekimo ministerijos direktorius 2019 m. 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Rokiškio rajono savivaldybės tarybos 2019 m. balandžio 26 d. sprendimas Nr. TS-103 „</w:t>
      </w:r>
      <w:r w:rsidR="00296366" w:rsidRPr="005A04FC">
        <w:rPr>
          <w:bCs/>
        </w:rPr>
        <w:t>Dėl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w:t>
      </w:r>
    </w:p>
    <w:p w14:paraId="615C11E5" w14:textId="77777777" w:rsidR="00050075" w:rsidRPr="005A04FC" w:rsidRDefault="00050075" w:rsidP="00492E6A">
      <w:pPr>
        <w:ind w:firstLine="709"/>
        <w:jc w:val="both"/>
      </w:pPr>
      <w:r w:rsidRPr="005A04FC">
        <w:rPr>
          <w:b/>
        </w:rPr>
        <w:t>Sprendimo projekto esmė</w:t>
      </w:r>
      <w:r w:rsidR="00492E6A" w:rsidRPr="005A04FC">
        <w:rPr>
          <w:b/>
        </w:rPr>
        <w:t>.</w:t>
      </w:r>
      <w:r w:rsidR="00492E6A" w:rsidRPr="005A04FC">
        <w:t xml:space="preserve"> </w:t>
      </w:r>
      <w:r w:rsidR="00D4680E" w:rsidRPr="005A04FC">
        <w:t>2019 m. liepos 3 d. Rokiškio rajono savivaldybės kelių eismo saugumo komisijos posėdyje buvo nu</w:t>
      </w:r>
      <w:r w:rsidR="00925863" w:rsidRPr="005A04FC">
        <w:t>spręsta</w:t>
      </w:r>
      <w:r w:rsidR="00D4680E" w:rsidRPr="005A04FC">
        <w:t xml:space="preserve">, jog Rokiškio miesto Vilties gatvėje </w:t>
      </w:r>
      <w:r w:rsidR="00BF5587" w:rsidRPr="005A04FC">
        <w:t>vietoje esančių</w:t>
      </w:r>
      <w:r w:rsidR="00D4680E" w:rsidRPr="005A04FC">
        <w:t xml:space="preserve"> </w:t>
      </w:r>
      <w:r w:rsidR="00BF5587" w:rsidRPr="005A04FC">
        <w:t>greičio mažinimos kalnelių</w:t>
      </w:r>
      <w:r w:rsidR="00925863" w:rsidRPr="005A04FC">
        <w:t xml:space="preserve"> </w:t>
      </w:r>
      <w:r w:rsidR="00BF5587" w:rsidRPr="005A04FC">
        <w:t>bei šalia parduotu</w:t>
      </w:r>
      <w:r w:rsidR="005A04FC" w:rsidRPr="005A04FC">
        <w:t>v</w:t>
      </w:r>
      <w:r w:rsidR="00BF5587" w:rsidRPr="005A04FC">
        <w:t xml:space="preserve">ės „Aibė“ </w:t>
      </w:r>
      <w:r w:rsidR="00925863" w:rsidRPr="005A04FC">
        <w:t xml:space="preserve">tikslinga </w:t>
      </w:r>
      <w:r w:rsidR="00BF5587" w:rsidRPr="005A04FC">
        <w:t>įrengti</w:t>
      </w:r>
      <w:r w:rsidR="00296366" w:rsidRPr="005A04FC">
        <w:t xml:space="preserve"> </w:t>
      </w:r>
      <w:r w:rsidR="00925863" w:rsidRPr="005A04FC">
        <w:t>iškili</w:t>
      </w:r>
      <w:r w:rsidR="00BF5587" w:rsidRPr="005A04FC">
        <w:t xml:space="preserve">ąsias </w:t>
      </w:r>
      <w:r w:rsidR="00925863" w:rsidRPr="005A04FC">
        <w:t>pėsčiųjų perėjas. Siekiant iškiliųjų perėjų įrengimo darbus apmokėti Kelių priežiūros ir plėtros programos lėšomis, reikalinga papildyti 2019 metų objektų sąrašą</w:t>
      </w:r>
      <w:r w:rsidR="00D114DF" w:rsidRPr="005A04FC">
        <w:t>.</w:t>
      </w:r>
    </w:p>
    <w:p w14:paraId="615C11E6" w14:textId="77777777" w:rsidR="00050075" w:rsidRPr="005A04FC" w:rsidRDefault="00050075" w:rsidP="00492E6A">
      <w:pPr>
        <w:ind w:firstLine="709"/>
        <w:jc w:val="both"/>
      </w:pPr>
      <w:r w:rsidRPr="005A04FC">
        <w:rPr>
          <w:b/>
        </w:rPr>
        <w:t>Galimos pasekmės, priėmus siūlomą tarybos sprendimo projektą</w:t>
      </w:r>
      <w:r w:rsidRPr="005A04FC">
        <w:t>:</w:t>
      </w:r>
    </w:p>
    <w:p w14:paraId="615C11E7" w14:textId="77777777" w:rsidR="00050075" w:rsidRPr="005A04FC" w:rsidRDefault="00050075" w:rsidP="00492E6A">
      <w:pPr>
        <w:ind w:firstLine="709"/>
        <w:jc w:val="both"/>
      </w:pPr>
      <w:r w:rsidRPr="005A04FC">
        <w:rPr>
          <w:b/>
        </w:rPr>
        <w:t>teigiamos</w:t>
      </w:r>
      <w:r w:rsidRPr="005A04FC">
        <w:t xml:space="preserve"> – </w:t>
      </w:r>
      <w:r w:rsidR="00D4680E" w:rsidRPr="005A04FC">
        <w:t xml:space="preserve">padidės eismo saugumas, </w:t>
      </w:r>
      <w:r w:rsidR="003B55C8" w:rsidRPr="005A04FC">
        <w:t>sumažės triukšmo lygis</w:t>
      </w:r>
      <w:r w:rsidRPr="005A04FC">
        <w:t>;</w:t>
      </w:r>
    </w:p>
    <w:p w14:paraId="615C11E8" w14:textId="77777777" w:rsidR="00050075" w:rsidRPr="005A04FC" w:rsidRDefault="00050075" w:rsidP="00492E6A">
      <w:pPr>
        <w:ind w:firstLine="709"/>
        <w:jc w:val="both"/>
      </w:pPr>
      <w:r w:rsidRPr="005A04FC">
        <w:rPr>
          <w:b/>
        </w:rPr>
        <w:t>neigiamos</w:t>
      </w:r>
      <w:r w:rsidRPr="005A04FC">
        <w:t xml:space="preserve"> – nėra.</w:t>
      </w:r>
    </w:p>
    <w:p w14:paraId="615C11E9" w14:textId="77777777" w:rsidR="00492E6A" w:rsidRPr="005A04FC" w:rsidRDefault="00492E6A" w:rsidP="00492E6A">
      <w:pPr>
        <w:ind w:firstLine="709"/>
        <w:jc w:val="both"/>
      </w:pPr>
      <w:r w:rsidRPr="005A04FC">
        <w:rPr>
          <w:b/>
        </w:rPr>
        <w:t>Kokia sprendimo nauda Rokiškio rajono gyventojams.</w:t>
      </w:r>
      <w:r w:rsidR="00994271" w:rsidRPr="005A04FC">
        <w:rPr>
          <w:b/>
        </w:rPr>
        <w:t xml:space="preserve"> </w:t>
      </w:r>
      <w:r w:rsidR="003B55C8" w:rsidRPr="005A04FC">
        <w:t>Padidės saugumas keliuose, sumažės triukšmo lygis.</w:t>
      </w:r>
    </w:p>
    <w:p w14:paraId="615C11EA" w14:textId="77777777" w:rsidR="00050075" w:rsidRPr="005A04FC" w:rsidRDefault="00050075" w:rsidP="00492E6A">
      <w:pPr>
        <w:ind w:firstLine="709"/>
        <w:jc w:val="both"/>
      </w:pPr>
      <w:r w:rsidRPr="005A04FC">
        <w:rPr>
          <w:b/>
        </w:rPr>
        <w:t>Finansavimo šaltiniai ir lėšų poreikis</w:t>
      </w:r>
      <w:r w:rsidRPr="005A04FC">
        <w:t xml:space="preserve">. Kelių priežiūros ir plėtros programa. </w:t>
      </w:r>
    </w:p>
    <w:p w14:paraId="615C11EB" w14:textId="77777777" w:rsidR="00050075" w:rsidRPr="005A04FC" w:rsidRDefault="00050075" w:rsidP="00492E6A">
      <w:pPr>
        <w:ind w:firstLine="709"/>
        <w:jc w:val="both"/>
        <w:rPr>
          <w:b/>
        </w:rPr>
      </w:pPr>
      <w:r w:rsidRPr="005A04FC">
        <w:rPr>
          <w:b/>
        </w:rPr>
        <w:t>Suderinamumas su Lietuvos Respublikos galioja</w:t>
      </w:r>
      <w:r w:rsidR="0003081D" w:rsidRPr="005A04FC">
        <w:rPr>
          <w:b/>
        </w:rPr>
        <w:t>nčiais teisės norminiais aktais</w:t>
      </w:r>
    </w:p>
    <w:p w14:paraId="615C11EC" w14:textId="77777777" w:rsidR="00050075" w:rsidRPr="005A04FC" w:rsidRDefault="00050075" w:rsidP="00492E6A">
      <w:pPr>
        <w:ind w:firstLine="709"/>
        <w:jc w:val="both"/>
        <w:rPr>
          <w:b/>
        </w:rPr>
      </w:pPr>
      <w:r w:rsidRPr="005A04FC">
        <w:t>Projektas neprieštarauja galiojantiems teisės aktams.</w:t>
      </w:r>
    </w:p>
    <w:p w14:paraId="615C11ED" w14:textId="77777777" w:rsidR="00302E68" w:rsidRPr="005A04FC" w:rsidRDefault="00302E68" w:rsidP="00492E6A">
      <w:pPr>
        <w:ind w:firstLine="709"/>
        <w:jc w:val="both"/>
      </w:pPr>
      <w:r w:rsidRPr="005A04FC">
        <w:rPr>
          <w:b/>
        </w:rPr>
        <w:t xml:space="preserve">Antikorupcinis vertinimas. </w:t>
      </w:r>
      <w:r w:rsidRPr="005A04FC">
        <w:t xml:space="preserve">Teisės akte nenumatoma reguliuoti visuomeninių santykių, susijusių su LR Korupcijos prevencijos įstatymo 8 straipsnio 1 dalyje numatytais veiksniais, todėl teisės aktas nevertintinas antikorupciniu požiūriu. </w:t>
      </w:r>
    </w:p>
    <w:p w14:paraId="615C11EE" w14:textId="77777777" w:rsidR="00050075" w:rsidRPr="005A04FC" w:rsidRDefault="00050075" w:rsidP="006F1213">
      <w:pPr>
        <w:jc w:val="both"/>
      </w:pPr>
    </w:p>
    <w:p w14:paraId="615C11EF" w14:textId="77777777" w:rsidR="00050075" w:rsidRPr="005A04FC" w:rsidRDefault="00050075" w:rsidP="006F1213">
      <w:pPr>
        <w:jc w:val="both"/>
      </w:pPr>
    </w:p>
    <w:p w14:paraId="615C11F0" w14:textId="77777777" w:rsidR="00050075" w:rsidRPr="005A04FC" w:rsidRDefault="00050075" w:rsidP="006F1213">
      <w:pPr>
        <w:jc w:val="both"/>
      </w:pPr>
      <w:r w:rsidRPr="005A04FC">
        <w:t xml:space="preserve">Statybos ir infrastruktūros plėtros skyriaus </w:t>
      </w:r>
    </w:p>
    <w:p w14:paraId="615C11F1" w14:textId="77777777" w:rsidR="00455345" w:rsidRPr="005A04FC" w:rsidRDefault="001D0AD6" w:rsidP="006F1213">
      <w:pPr>
        <w:jc w:val="both"/>
      </w:pPr>
      <w:r w:rsidRPr="005A04FC">
        <w:t xml:space="preserve">vyriausiasis specialistas </w:t>
      </w:r>
      <w:r w:rsidRPr="005A04FC">
        <w:tab/>
      </w:r>
      <w:r w:rsidRPr="005A04FC">
        <w:tab/>
      </w:r>
      <w:r w:rsidRPr="005A04FC">
        <w:tab/>
      </w:r>
      <w:r w:rsidRPr="005A04FC">
        <w:tab/>
        <w:t>Augustinas Blažys</w:t>
      </w:r>
    </w:p>
    <w:sectPr w:rsidR="00455345" w:rsidRPr="005A04FC" w:rsidSect="006338AA">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3081D"/>
    <w:rsid w:val="00043F02"/>
    <w:rsid w:val="00046F59"/>
    <w:rsid w:val="00050075"/>
    <w:rsid w:val="00055CE9"/>
    <w:rsid w:val="00060FD4"/>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85852"/>
    <w:rsid w:val="00190B20"/>
    <w:rsid w:val="0019215D"/>
    <w:rsid w:val="001A2596"/>
    <w:rsid w:val="001A27F7"/>
    <w:rsid w:val="001A44BF"/>
    <w:rsid w:val="001B1976"/>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D63"/>
    <w:rsid w:val="00243EBB"/>
    <w:rsid w:val="00244933"/>
    <w:rsid w:val="00244E90"/>
    <w:rsid w:val="002559E4"/>
    <w:rsid w:val="00257653"/>
    <w:rsid w:val="00262290"/>
    <w:rsid w:val="002651E1"/>
    <w:rsid w:val="00265973"/>
    <w:rsid w:val="002659F1"/>
    <w:rsid w:val="00292E6E"/>
    <w:rsid w:val="00293CAE"/>
    <w:rsid w:val="00296366"/>
    <w:rsid w:val="002A0041"/>
    <w:rsid w:val="002B5098"/>
    <w:rsid w:val="002C4105"/>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3B6"/>
    <w:rsid w:val="00355719"/>
    <w:rsid w:val="003575A7"/>
    <w:rsid w:val="00366E5E"/>
    <w:rsid w:val="00367A2A"/>
    <w:rsid w:val="00367FC5"/>
    <w:rsid w:val="00374435"/>
    <w:rsid w:val="003826AA"/>
    <w:rsid w:val="003B55C8"/>
    <w:rsid w:val="003D14C8"/>
    <w:rsid w:val="003D7DE7"/>
    <w:rsid w:val="003E1C30"/>
    <w:rsid w:val="003E7153"/>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92E6A"/>
    <w:rsid w:val="004A1CA0"/>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4489A"/>
    <w:rsid w:val="00555A28"/>
    <w:rsid w:val="005564F9"/>
    <w:rsid w:val="005652D4"/>
    <w:rsid w:val="0057237B"/>
    <w:rsid w:val="00572D10"/>
    <w:rsid w:val="00573621"/>
    <w:rsid w:val="00576FE3"/>
    <w:rsid w:val="00586C37"/>
    <w:rsid w:val="005873DB"/>
    <w:rsid w:val="0059266A"/>
    <w:rsid w:val="005A04FC"/>
    <w:rsid w:val="005B0859"/>
    <w:rsid w:val="005B23FD"/>
    <w:rsid w:val="005B5095"/>
    <w:rsid w:val="005C2292"/>
    <w:rsid w:val="005C5239"/>
    <w:rsid w:val="005D451F"/>
    <w:rsid w:val="005E1BDC"/>
    <w:rsid w:val="005E2221"/>
    <w:rsid w:val="005E2343"/>
    <w:rsid w:val="005E3E29"/>
    <w:rsid w:val="005E68C9"/>
    <w:rsid w:val="005E697A"/>
    <w:rsid w:val="00603359"/>
    <w:rsid w:val="00603566"/>
    <w:rsid w:val="00613DB1"/>
    <w:rsid w:val="006338AA"/>
    <w:rsid w:val="00634A52"/>
    <w:rsid w:val="00647CE6"/>
    <w:rsid w:val="006527A8"/>
    <w:rsid w:val="00655407"/>
    <w:rsid w:val="00655AF1"/>
    <w:rsid w:val="00661AFE"/>
    <w:rsid w:val="006679C7"/>
    <w:rsid w:val="00670C8A"/>
    <w:rsid w:val="00674FC8"/>
    <w:rsid w:val="00676544"/>
    <w:rsid w:val="006803A4"/>
    <w:rsid w:val="00681350"/>
    <w:rsid w:val="00685D16"/>
    <w:rsid w:val="00687360"/>
    <w:rsid w:val="00687E64"/>
    <w:rsid w:val="006A7DE4"/>
    <w:rsid w:val="006B3901"/>
    <w:rsid w:val="006C71CB"/>
    <w:rsid w:val="006D1050"/>
    <w:rsid w:val="006D3F17"/>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BC1"/>
    <w:rsid w:val="00857E68"/>
    <w:rsid w:val="00867AB6"/>
    <w:rsid w:val="00872932"/>
    <w:rsid w:val="008807C2"/>
    <w:rsid w:val="00882CD2"/>
    <w:rsid w:val="00893C54"/>
    <w:rsid w:val="008A1458"/>
    <w:rsid w:val="008A2634"/>
    <w:rsid w:val="008B43F1"/>
    <w:rsid w:val="008C0D07"/>
    <w:rsid w:val="008C66F4"/>
    <w:rsid w:val="008D29DD"/>
    <w:rsid w:val="008D7A7A"/>
    <w:rsid w:val="008E029C"/>
    <w:rsid w:val="008E1623"/>
    <w:rsid w:val="008E1647"/>
    <w:rsid w:val="008E47D4"/>
    <w:rsid w:val="008F5F35"/>
    <w:rsid w:val="008F7084"/>
    <w:rsid w:val="0091258C"/>
    <w:rsid w:val="0092110C"/>
    <w:rsid w:val="00923FD5"/>
    <w:rsid w:val="00924EF9"/>
    <w:rsid w:val="00925863"/>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035AF"/>
    <w:rsid w:val="00B106BF"/>
    <w:rsid w:val="00B12461"/>
    <w:rsid w:val="00B15E18"/>
    <w:rsid w:val="00B20D2D"/>
    <w:rsid w:val="00B232F0"/>
    <w:rsid w:val="00B34906"/>
    <w:rsid w:val="00B44763"/>
    <w:rsid w:val="00B531C2"/>
    <w:rsid w:val="00B54B96"/>
    <w:rsid w:val="00B55FD4"/>
    <w:rsid w:val="00B572FD"/>
    <w:rsid w:val="00B60641"/>
    <w:rsid w:val="00B632E1"/>
    <w:rsid w:val="00B7118A"/>
    <w:rsid w:val="00B83D7C"/>
    <w:rsid w:val="00B875C8"/>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BF2990"/>
    <w:rsid w:val="00BF5587"/>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114DF"/>
    <w:rsid w:val="00D12FFA"/>
    <w:rsid w:val="00D21B77"/>
    <w:rsid w:val="00D24C36"/>
    <w:rsid w:val="00D30695"/>
    <w:rsid w:val="00D30DA6"/>
    <w:rsid w:val="00D341FE"/>
    <w:rsid w:val="00D42F16"/>
    <w:rsid w:val="00D43EE8"/>
    <w:rsid w:val="00D44E68"/>
    <w:rsid w:val="00D45FD2"/>
    <w:rsid w:val="00D4680E"/>
    <w:rsid w:val="00D506A4"/>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C7A54"/>
    <w:rsid w:val="00DD49BC"/>
    <w:rsid w:val="00DE0362"/>
    <w:rsid w:val="00DE3807"/>
    <w:rsid w:val="00DE595F"/>
    <w:rsid w:val="00DF7ECB"/>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E5DC6"/>
    <w:rsid w:val="00EF0EF8"/>
    <w:rsid w:val="00EF56F4"/>
    <w:rsid w:val="00EF738D"/>
    <w:rsid w:val="00F015D1"/>
    <w:rsid w:val="00F018D8"/>
    <w:rsid w:val="00F04022"/>
    <w:rsid w:val="00F07720"/>
    <w:rsid w:val="00F116E7"/>
    <w:rsid w:val="00F16645"/>
    <w:rsid w:val="00F35BC9"/>
    <w:rsid w:val="00F44C9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D7C7D"/>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C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3173</Words>
  <Characters>1810</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SAV8</cp:lastModifiedBy>
  <cp:revision>2</cp:revision>
  <cp:lastPrinted>2019-04-15T12:24:00Z</cp:lastPrinted>
  <dcterms:created xsi:type="dcterms:W3CDTF">2019-09-13T07:53:00Z</dcterms:created>
  <dcterms:modified xsi:type="dcterms:W3CDTF">2019-09-13T07:53:00Z</dcterms:modified>
</cp:coreProperties>
</file>