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8058" w14:textId="07EAB0D1" w:rsidR="007042BF" w:rsidRDefault="007042BF" w:rsidP="0098652F">
      <w:pPr>
        <w:jc w:val="center"/>
      </w:pPr>
      <w:bookmarkStart w:id="0" w:name="_GoBack"/>
      <w:bookmarkEnd w:id="0"/>
      <w:r>
        <w:t xml:space="preserve">                                                    </w:t>
      </w:r>
      <w:r w:rsidR="00D540BE">
        <w:tab/>
      </w:r>
      <w:r w:rsidR="00D540BE">
        <w:tab/>
      </w:r>
      <w:r w:rsidR="00D540BE">
        <w:tab/>
      </w:r>
      <w:r>
        <w:t>Projektas</w:t>
      </w:r>
    </w:p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36B812EE" w14:textId="3756E941" w:rsidR="007251B8" w:rsidRDefault="007251B8" w:rsidP="00591E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654349">
        <w:rPr>
          <w:b/>
          <w:szCs w:val="20"/>
        </w:rPr>
        <w:t>ROKIŠKIO RAJONO SAVIVALDYBĖS TARYBOS 2022 M. VASARIO 23</w:t>
      </w:r>
      <w:r w:rsidR="00767BCA">
        <w:rPr>
          <w:b/>
          <w:szCs w:val="20"/>
        </w:rPr>
        <w:t xml:space="preserve"> </w:t>
      </w:r>
      <w:r w:rsidR="00654349">
        <w:rPr>
          <w:b/>
          <w:szCs w:val="20"/>
        </w:rPr>
        <w:t xml:space="preserve">D. SPRENDIMO NR. TS- 26 „DĖL </w:t>
      </w:r>
      <w:r>
        <w:rPr>
          <w:b/>
          <w:szCs w:val="20"/>
        </w:rPr>
        <w:t>DIDŽIAUSIO LEISTINO DARBUOTOJŲ PAREIGYBIŲ SKAIČIAUS</w:t>
      </w:r>
      <w:r>
        <w:rPr>
          <w:b/>
        </w:rPr>
        <w:t xml:space="preserve"> PATVIRTINIMO ROKIŠKIO RAJONO SAVIVALDYBĖS BIUDŽETINĖSE ĮSTAIGOSE</w:t>
      </w:r>
      <w:r w:rsidR="00D70C90">
        <w:rPr>
          <w:b/>
        </w:rPr>
        <w:t>“ PA</w:t>
      </w:r>
      <w:r w:rsidR="00E643BE">
        <w:rPr>
          <w:b/>
        </w:rPr>
        <w:t>KEITIMO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47779A06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251760">
        <w:t>2</w:t>
      </w:r>
      <w:r w:rsidRPr="002A2053">
        <w:t xml:space="preserve"> m</w:t>
      </w:r>
      <w:r w:rsidR="00711E10">
        <w:t>. lapkričio 25</w:t>
      </w:r>
      <w:r w:rsidRPr="002A2053">
        <w:t xml:space="preserve"> d. Nr. TS</w:t>
      </w:r>
      <w:r w:rsidR="00D56235">
        <w:t>P</w:t>
      </w:r>
      <w:r w:rsidRPr="002A2053">
        <w:t>-</w:t>
      </w:r>
      <w:r w:rsidR="00D56235">
        <w:t>249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1E0D1CA0" w14:textId="77777777" w:rsidR="00B615CF" w:rsidRDefault="002A2053" w:rsidP="00B615CF">
      <w:pPr>
        <w:ind w:firstLine="709"/>
        <w:jc w:val="both"/>
      </w:pPr>
      <w:r w:rsidRPr="002A2053">
        <w:t>Vadovaudamasi Lietuvos Respublikos vietos savivaldos įstatymo 18 straipsnio 1 dalimi, Rokiškio rajono savivaldybės taryba n u s p r e n d ž i a:</w:t>
      </w:r>
    </w:p>
    <w:p w14:paraId="3F34D929" w14:textId="77777777" w:rsidR="00B615CF" w:rsidRDefault="00B615CF" w:rsidP="00B615CF">
      <w:pPr>
        <w:ind w:firstLine="709"/>
        <w:jc w:val="both"/>
      </w:pPr>
      <w:r>
        <w:t xml:space="preserve">1. </w:t>
      </w:r>
      <w:r w:rsidR="00754649">
        <w:t xml:space="preserve">Pakeisti </w:t>
      </w:r>
      <w:r w:rsidR="00D70C90">
        <w:t>R</w:t>
      </w:r>
      <w:r w:rsidR="00D70C90" w:rsidRPr="00B615CF">
        <w:rPr>
          <w:szCs w:val="20"/>
        </w:rPr>
        <w:t xml:space="preserve">okiškio rajono savivaldybės tarybos 2022 m. </w:t>
      </w:r>
      <w:r w:rsidR="00754649" w:rsidRPr="00B615CF">
        <w:rPr>
          <w:szCs w:val="20"/>
        </w:rPr>
        <w:t>v</w:t>
      </w:r>
      <w:r w:rsidR="00D70C90" w:rsidRPr="00B615CF">
        <w:rPr>
          <w:szCs w:val="20"/>
        </w:rPr>
        <w:t>asario 23 d. sprendim</w:t>
      </w:r>
      <w:r w:rsidR="00754649" w:rsidRPr="00B615CF">
        <w:rPr>
          <w:szCs w:val="20"/>
        </w:rPr>
        <w:t>o</w:t>
      </w:r>
      <w:r w:rsidR="0098652F" w:rsidRPr="00B615CF">
        <w:rPr>
          <w:szCs w:val="20"/>
        </w:rPr>
        <w:t xml:space="preserve"> </w:t>
      </w:r>
      <w:r w:rsidR="00D70C90" w:rsidRPr="00B615CF">
        <w:rPr>
          <w:szCs w:val="20"/>
        </w:rPr>
        <w:t>Nr. TS-26 „Dėl didžiausio leistino darbuotojų pareigybių skaičiaus</w:t>
      </w:r>
      <w:r w:rsidR="00D70C90">
        <w:t xml:space="preserve"> patvirtinimo R</w:t>
      </w:r>
      <w:r w:rsidR="00D70C90" w:rsidRPr="00D70C90">
        <w:t>okiškio rajono savivaldybės biudžetinėse įstaigose“</w:t>
      </w:r>
      <w:r w:rsidR="00D70C90">
        <w:t xml:space="preserve"> priedą </w:t>
      </w:r>
      <w:r w:rsidR="00754649">
        <w:t xml:space="preserve">ir </w:t>
      </w:r>
      <w:r w:rsidR="00D70C90">
        <w:t>išdėst</w:t>
      </w:r>
      <w:r w:rsidR="00754649">
        <w:t>yti jį</w:t>
      </w:r>
      <w:r w:rsidR="00D70C90">
        <w:t xml:space="preserve"> nauja redakcija (pridedama)</w:t>
      </w:r>
      <w:r w:rsidR="0098652F">
        <w:t>.</w:t>
      </w:r>
    </w:p>
    <w:p w14:paraId="3D963B2D" w14:textId="3AF31A2E" w:rsidR="00B615CF" w:rsidRDefault="00B615CF" w:rsidP="00B615CF">
      <w:pPr>
        <w:ind w:firstLine="709"/>
        <w:jc w:val="both"/>
      </w:pPr>
      <w:r>
        <w:t xml:space="preserve">2. </w:t>
      </w:r>
      <w:r w:rsidR="00BB0037">
        <w:t>Obelių socialinių paslaugų namams sprendimo priede nustatytą didžiausią leistiną pareigybių skaiči</w:t>
      </w:r>
      <w:r>
        <w:t>ų taikyti nuo 2023m. sausio 1 d.</w:t>
      </w:r>
    </w:p>
    <w:p w14:paraId="4EBCA184" w14:textId="44BA9D11" w:rsidR="0098652F" w:rsidRDefault="00B615CF" w:rsidP="00B615CF">
      <w:pPr>
        <w:tabs>
          <w:tab w:val="left" w:pos="709"/>
        </w:tabs>
        <w:jc w:val="both"/>
      </w:pPr>
      <w:r>
        <w:tab/>
        <w:t xml:space="preserve">3. </w:t>
      </w:r>
      <w:r w:rsidR="007251B8" w:rsidRPr="00BB0037">
        <w:rPr>
          <w:bCs/>
        </w:rPr>
        <w:t>Skelbti sprendimą Teisės aktų registre.</w:t>
      </w:r>
    </w:p>
    <w:p w14:paraId="7C82F4EB" w14:textId="358D1281" w:rsidR="007251B8" w:rsidRPr="0098652F" w:rsidRDefault="007251B8" w:rsidP="0098652F">
      <w:pPr>
        <w:ind w:firstLine="709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C2C78E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26141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DCE98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F8BF75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ED5C17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B195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CB8F4C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E944B84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2D0546A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BCC009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3E9138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25CBCCF" w14:textId="77777777" w:rsidR="00D56235" w:rsidRDefault="00D56235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55E35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53F4FCAB" w:rsidR="00E84D69" w:rsidRDefault="002A2053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>Reda Dūdienė</w:t>
      </w:r>
    </w:p>
    <w:p w14:paraId="045DB399" w14:textId="77777777" w:rsidR="00DD16A6" w:rsidRDefault="00DD16A6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0DBD4F18" w:rsidR="00607475" w:rsidRPr="00D357DC" w:rsidRDefault="00B615CF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lastRenderedPageBreak/>
        <w:tab/>
      </w:r>
      <w:r>
        <w:rPr>
          <w:szCs w:val="20"/>
        </w:rPr>
        <w:tab/>
        <w:t xml:space="preserve">    </w:t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5B2D43DE" w:rsidR="00203E73" w:rsidRDefault="00AF4743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D357DC">
        <w:rPr>
          <w:sz w:val="22"/>
          <w:szCs w:val="22"/>
        </w:rPr>
        <w:t>202</w:t>
      </w:r>
      <w:r w:rsidR="005C27EF">
        <w:rPr>
          <w:sz w:val="22"/>
          <w:szCs w:val="22"/>
        </w:rPr>
        <w:t>2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754649">
        <w:rPr>
          <w:sz w:val="22"/>
          <w:szCs w:val="22"/>
        </w:rPr>
        <w:t>vasario 23</w:t>
      </w:r>
      <w:r w:rsidR="00203E73" w:rsidRPr="00D357DC">
        <w:rPr>
          <w:sz w:val="22"/>
          <w:szCs w:val="22"/>
        </w:rPr>
        <w:t>d. sprendim</w:t>
      </w:r>
      <w:r w:rsidR="00B9122F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  <w:r w:rsidR="00754649">
        <w:rPr>
          <w:sz w:val="22"/>
          <w:szCs w:val="22"/>
        </w:rPr>
        <w:t>26</w:t>
      </w:r>
    </w:p>
    <w:p w14:paraId="4B63534B" w14:textId="77777777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p w14:paraId="5466718A" w14:textId="70466AAE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(Rokiškio rajono savivaldybės tarybos</w:t>
      </w:r>
    </w:p>
    <w:p w14:paraId="58777D96" w14:textId="329007BD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2022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 w:rsidR="000650FA">
        <w:rPr>
          <w:sz w:val="22"/>
          <w:szCs w:val="22"/>
        </w:rPr>
        <w:t>l</w:t>
      </w:r>
      <w:r w:rsidR="005954A4">
        <w:rPr>
          <w:sz w:val="22"/>
          <w:szCs w:val="22"/>
        </w:rPr>
        <w:t>apkričio 25</w:t>
      </w:r>
      <w:r>
        <w:rPr>
          <w:sz w:val="22"/>
          <w:szCs w:val="22"/>
        </w:rPr>
        <w:t xml:space="preserve"> d. sprendimo Nr.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TS-</w:t>
      </w:r>
    </w:p>
    <w:p w14:paraId="2AE10421" w14:textId="18279AD4" w:rsidR="00203E73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(redakcija) </w:t>
      </w:r>
    </w:p>
    <w:p w14:paraId="5A85A417" w14:textId="77777777" w:rsidR="00B615CF" w:rsidRPr="00D357DC" w:rsidRDefault="00B615CF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19BFA2E4" w:rsidR="00203E73" w:rsidRPr="00D357DC" w:rsidRDefault="003419B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357DC">
              <w:rPr>
                <w:b/>
                <w:sz w:val="22"/>
                <w:szCs w:val="22"/>
              </w:rPr>
              <w:t xml:space="preserve">DIDŽIAUSIAS LEISTINAS </w:t>
            </w:r>
            <w:r w:rsidR="00706B40">
              <w:rPr>
                <w:b/>
                <w:sz w:val="22"/>
                <w:szCs w:val="22"/>
              </w:rPr>
              <w:t xml:space="preserve">DARBUOTOJŲ </w:t>
            </w:r>
            <w:r w:rsidRPr="00D357DC">
              <w:rPr>
                <w:b/>
                <w:sz w:val="22"/>
                <w:szCs w:val="22"/>
              </w:rPr>
              <w:t>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35375ECA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 w:rsidR="00B9122F"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BEE986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6218EDC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3B5A858F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ugdymo</w:t>
            </w:r>
            <w:r w:rsidRPr="00D357DC">
              <w:rPr>
                <w:sz w:val="20"/>
                <w:szCs w:val="20"/>
              </w:rPr>
              <w:t>)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6FE36AA4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32,19</w:t>
            </w:r>
          </w:p>
        </w:tc>
        <w:tc>
          <w:tcPr>
            <w:tcW w:w="1310" w:type="dxa"/>
            <w:noWrap/>
            <w:hideMark/>
          </w:tcPr>
          <w:p w14:paraId="364CDEAE" w14:textId="6FD1CF05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32,19</w:t>
            </w:r>
          </w:p>
        </w:tc>
        <w:tc>
          <w:tcPr>
            <w:tcW w:w="1456" w:type="dxa"/>
            <w:hideMark/>
          </w:tcPr>
          <w:p w14:paraId="3E0793F3" w14:textId="5717C556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2362D572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310" w:type="dxa"/>
            <w:noWrap/>
            <w:hideMark/>
          </w:tcPr>
          <w:p w14:paraId="7EFDC6FD" w14:textId="535370CF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456" w:type="dxa"/>
            <w:hideMark/>
          </w:tcPr>
          <w:p w14:paraId="68C7D63D" w14:textId="2E393150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3E73018E" w14:textId="749C62AB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23,42</w:t>
            </w:r>
          </w:p>
        </w:tc>
        <w:tc>
          <w:tcPr>
            <w:tcW w:w="1310" w:type="dxa"/>
            <w:noWrap/>
            <w:hideMark/>
          </w:tcPr>
          <w:p w14:paraId="5D0F79EE" w14:textId="0D2E6F81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23,42</w:t>
            </w:r>
          </w:p>
        </w:tc>
        <w:tc>
          <w:tcPr>
            <w:tcW w:w="1456" w:type="dxa"/>
            <w:hideMark/>
          </w:tcPr>
          <w:p w14:paraId="35C57508" w14:textId="322273BA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38326B33" w:rsidR="007F4E60" w:rsidRPr="005954A4" w:rsidRDefault="006E2EF4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54A4">
              <w:rPr>
                <w:sz w:val="20"/>
                <w:szCs w:val="20"/>
                <w:highlight w:val="yellow"/>
              </w:rPr>
              <w:t>14,</w:t>
            </w:r>
            <w:r w:rsidR="005954A4" w:rsidRPr="005954A4">
              <w:rPr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1310" w:type="dxa"/>
            <w:noWrap/>
            <w:hideMark/>
          </w:tcPr>
          <w:p w14:paraId="0AD2E7A0" w14:textId="2BBFF13E" w:rsidR="007F4E60" w:rsidRPr="005954A4" w:rsidRDefault="006E2EF4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54A4">
              <w:rPr>
                <w:sz w:val="20"/>
                <w:szCs w:val="20"/>
                <w:highlight w:val="yellow"/>
              </w:rPr>
              <w:t>14,</w:t>
            </w:r>
            <w:r w:rsidR="005954A4" w:rsidRPr="005954A4">
              <w:rPr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1456" w:type="dxa"/>
            <w:hideMark/>
          </w:tcPr>
          <w:p w14:paraId="580CA7F6" w14:textId="1A519059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4F8A6A39" w:rsidR="007F4E60" w:rsidRPr="00E06A35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Mokykla-darželis ,,Ąžuoliukas“</w:t>
            </w:r>
            <w:r w:rsidR="007E5117" w:rsidRPr="00E06A35">
              <w:rPr>
                <w:sz w:val="20"/>
                <w:szCs w:val="20"/>
              </w:rPr>
              <w:t>(0,2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7E5117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331510E3" w14:textId="546E34D0" w:rsidR="007F4E60" w:rsidRPr="00E06A35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41,48</w:t>
            </w:r>
          </w:p>
        </w:tc>
        <w:tc>
          <w:tcPr>
            <w:tcW w:w="1310" w:type="dxa"/>
            <w:noWrap/>
            <w:hideMark/>
          </w:tcPr>
          <w:p w14:paraId="4A359B0C" w14:textId="7F9F0343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  <w:r w:rsidR="006E2EF4" w:rsidRPr="00E06A35">
              <w:rPr>
                <w:sz w:val="20"/>
                <w:szCs w:val="20"/>
              </w:rPr>
              <w:t>6,47</w:t>
            </w:r>
          </w:p>
        </w:tc>
        <w:tc>
          <w:tcPr>
            <w:tcW w:w="1456" w:type="dxa"/>
            <w:hideMark/>
          </w:tcPr>
          <w:p w14:paraId="0589F940" w14:textId="279B9AE8" w:rsidR="007F4E60" w:rsidRPr="00E06A35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5,01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9428084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310" w:type="dxa"/>
            <w:noWrap/>
            <w:hideMark/>
          </w:tcPr>
          <w:p w14:paraId="2F61862B" w14:textId="53056F8E" w:rsidR="00E82B68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456" w:type="dxa"/>
            <w:hideMark/>
          </w:tcPr>
          <w:p w14:paraId="4B64F291" w14:textId="4DAB2DCA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418C460D" w:rsidR="007F4E60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20,09</w:t>
            </w:r>
          </w:p>
        </w:tc>
        <w:tc>
          <w:tcPr>
            <w:tcW w:w="1310" w:type="dxa"/>
            <w:noWrap/>
            <w:hideMark/>
          </w:tcPr>
          <w:p w14:paraId="3EC3EDBF" w14:textId="00AC69BB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16,83</w:t>
            </w:r>
          </w:p>
        </w:tc>
        <w:tc>
          <w:tcPr>
            <w:tcW w:w="1456" w:type="dxa"/>
            <w:hideMark/>
          </w:tcPr>
          <w:p w14:paraId="7D8486C2" w14:textId="07F96CFB" w:rsidR="007F4E60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3,26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1895A757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55,36</w:t>
            </w:r>
          </w:p>
        </w:tc>
        <w:tc>
          <w:tcPr>
            <w:tcW w:w="1310" w:type="dxa"/>
            <w:noWrap/>
            <w:hideMark/>
          </w:tcPr>
          <w:p w14:paraId="48144038" w14:textId="12D1A109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55,36</w:t>
            </w:r>
          </w:p>
        </w:tc>
        <w:tc>
          <w:tcPr>
            <w:tcW w:w="1456" w:type="dxa"/>
            <w:hideMark/>
          </w:tcPr>
          <w:p w14:paraId="4BF06FA5" w14:textId="3DBE0575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303F0DC0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Senamiesčio progimnazija</w:t>
            </w:r>
            <w:r w:rsidR="007E5117" w:rsidRPr="00E06A35">
              <w:rPr>
                <w:sz w:val="20"/>
                <w:szCs w:val="20"/>
              </w:rPr>
              <w:t xml:space="preserve"> </w:t>
            </w:r>
            <w:r w:rsidR="00A16F58" w:rsidRPr="00E06A35">
              <w:rPr>
                <w:sz w:val="20"/>
                <w:szCs w:val="20"/>
              </w:rPr>
              <w:t>“(0,2 pareigybės</w:t>
            </w:r>
            <w:r w:rsidR="007E5117" w:rsidRPr="00E06A35">
              <w:rPr>
                <w:sz w:val="20"/>
                <w:szCs w:val="20"/>
              </w:rPr>
              <w:t xml:space="preserve">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7E5117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21ED067D" w14:textId="728291C4" w:rsidR="007F4E60" w:rsidRPr="00E06A35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55,8</w:t>
            </w:r>
          </w:p>
        </w:tc>
        <w:tc>
          <w:tcPr>
            <w:tcW w:w="1310" w:type="dxa"/>
            <w:noWrap/>
            <w:hideMark/>
          </w:tcPr>
          <w:p w14:paraId="1D1EA222" w14:textId="26983A65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29,95</w:t>
            </w:r>
          </w:p>
        </w:tc>
        <w:tc>
          <w:tcPr>
            <w:tcW w:w="1456" w:type="dxa"/>
            <w:hideMark/>
          </w:tcPr>
          <w:p w14:paraId="3B3EB916" w14:textId="7226A7B6" w:rsidR="007F4E60" w:rsidRPr="00E06A35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25,85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8AFC884" w:rsidR="007F4E60" w:rsidRPr="00E06A35" w:rsidRDefault="007F4E60" w:rsidP="00F32D67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Senamiesčio progimnazijos Laibgalių ikimokyklinio ir pr</w:t>
            </w:r>
            <w:r w:rsidR="00F32D67" w:rsidRPr="00E06A35">
              <w:rPr>
                <w:sz w:val="20"/>
                <w:szCs w:val="20"/>
              </w:rPr>
              <w:t>iešmokyklinio</w:t>
            </w:r>
            <w:r w:rsidRPr="00E06A35">
              <w:rPr>
                <w:sz w:val="20"/>
                <w:szCs w:val="20"/>
              </w:rPr>
              <w:t xml:space="preserve"> ugdymo skyrius </w:t>
            </w:r>
          </w:p>
        </w:tc>
        <w:tc>
          <w:tcPr>
            <w:tcW w:w="1559" w:type="dxa"/>
            <w:noWrap/>
            <w:hideMark/>
          </w:tcPr>
          <w:p w14:paraId="5F2FF259" w14:textId="535FCD29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7,</w:t>
            </w:r>
            <w:r w:rsidR="002B5F39" w:rsidRPr="00E06A35">
              <w:rPr>
                <w:sz w:val="20"/>
                <w:szCs w:val="20"/>
              </w:rPr>
              <w:t>59</w:t>
            </w:r>
          </w:p>
        </w:tc>
        <w:tc>
          <w:tcPr>
            <w:tcW w:w="1310" w:type="dxa"/>
            <w:noWrap/>
            <w:hideMark/>
          </w:tcPr>
          <w:p w14:paraId="4D712902" w14:textId="7476FB6D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7,</w:t>
            </w:r>
            <w:r w:rsidR="002B5F39" w:rsidRPr="00E06A35">
              <w:rPr>
                <w:sz w:val="20"/>
                <w:szCs w:val="20"/>
              </w:rPr>
              <w:t>59</w:t>
            </w:r>
          </w:p>
        </w:tc>
        <w:tc>
          <w:tcPr>
            <w:tcW w:w="1456" w:type="dxa"/>
            <w:hideMark/>
          </w:tcPr>
          <w:p w14:paraId="093F020E" w14:textId="1FD0B210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3C1E2E51" w:rsidR="007F4E60" w:rsidRPr="00E06A35" w:rsidRDefault="00A10D7D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Panemunėlio </w:t>
            </w:r>
            <w:r w:rsidR="000C2AD1" w:rsidRPr="00E06A35">
              <w:rPr>
                <w:sz w:val="20"/>
                <w:szCs w:val="20"/>
              </w:rPr>
              <w:t xml:space="preserve">universalus </w:t>
            </w:r>
            <w:r w:rsidR="007F4E60" w:rsidRPr="00E06A35">
              <w:rPr>
                <w:sz w:val="20"/>
                <w:szCs w:val="20"/>
              </w:rPr>
              <w:t>daugiafunkcis centras</w:t>
            </w:r>
          </w:p>
        </w:tc>
        <w:tc>
          <w:tcPr>
            <w:tcW w:w="1559" w:type="dxa"/>
            <w:noWrap/>
            <w:hideMark/>
          </w:tcPr>
          <w:p w14:paraId="13493F38" w14:textId="3520F1A3" w:rsidR="007F4E60" w:rsidRPr="00E06A35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310" w:type="dxa"/>
            <w:noWrap/>
            <w:hideMark/>
          </w:tcPr>
          <w:p w14:paraId="7C0AF51F" w14:textId="20528D21" w:rsidR="007F4E60" w:rsidRPr="00E06A35" w:rsidRDefault="00C0551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456" w:type="dxa"/>
            <w:hideMark/>
          </w:tcPr>
          <w:p w14:paraId="4B6AA5CA" w14:textId="1D1FB38F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691FD540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54,4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E06A35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29093012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21,15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Kamajų Antano Strazdo gimnazijos Jūžintų skyrius</w:t>
            </w:r>
          </w:p>
        </w:tc>
        <w:tc>
          <w:tcPr>
            <w:tcW w:w="1559" w:type="dxa"/>
            <w:noWrap/>
            <w:hideMark/>
          </w:tcPr>
          <w:p w14:paraId="510ABEB2" w14:textId="30ACE548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27,35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E06A35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185E91D4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9,85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E06A35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Juozo </w:t>
            </w:r>
            <w:r w:rsidR="006444F1" w:rsidRPr="00E06A35">
              <w:rPr>
                <w:sz w:val="20"/>
                <w:szCs w:val="20"/>
              </w:rPr>
              <w:t xml:space="preserve">Tumo-Vaižganto </w:t>
            </w:r>
            <w:r w:rsidRPr="00E06A35">
              <w:rPr>
                <w:sz w:val="20"/>
                <w:szCs w:val="20"/>
              </w:rPr>
              <w:t xml:space="preserve">gimnazijos </w:t>
            </w:r>
            <w:r w:rsidR="006444F1" w:rsidRPr="00E06A35">
              <w:rPr>
                <w:sz w:val="20"/>
                <w:szCs w:val="20"/>
              </w:rPr>
              <w:t>s</w:t>
            </w:r>
            <w:r w:rsidRPr="00E06A35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49BB05A5" w:rsidR="007F4E60" w:rsidRPr="00E06A35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11,44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E06A35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3311E645" w:rsidR="007F4E60" w:rsidRPr="00E06A35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8,44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1E3CD243" w:rsidR="00FF4264" w:rsidRPr="00E06A35" w:rsidRDefault="00FF4264" w:rsidP="0090527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V</w:t>
            </w:r>
            <w:r w:rsidR="00905272" w:rsidRPr="00E06A35">
              <w:rPr>
                <w:sz w:val="20"/>
                <w:szCs w:val="20"/>
              </w:rPr>
              <w:t>š</w:t>
            </w:r>
            <w:r w:rsidRPr="00E06A35">
              <w:rPr>
                <w:sz w:val="20"/>
                <w:szCs w:val="20"/>
              </w:rPr>
              <w:t>Į Rokiškio psichiatrijos ligoninės mokymo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E06A35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4520121E" w:rsidR="00FF4264" w:rsidRPr="00E06A35" w:rsidRDefault="005954A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4A4">
              <w:rPr>
                <w:sz w:val="20"/>
                <w:szCs w:val="20"/>
                <w:highlight w:val="yellow"/>
              </w:rPr>
              <w:t>110,82</w:t>
            </w:r>
          </w:p>
        </w:tc>
        <w:tc>
          <w:tcPr>
            <w:tcW w:w="1310" w:type="dxa"/>
            <w:noWrap/>
            <w:hideMark/>
          </w:tcPr>
          <w:p w14:paraId="7BC977C3" w14:textId="6ED5B56B" w:rsidR="00FF4264" w:rsidRPr="00E06A35" w:rsidRDefault="007042BF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4A4">
              <w:rPr>
                <w:sz w:val="20"/>
                <w:szCs w:val="20"/>
                <w:highlight w:val="yellow"/>
              </w:rPr>
              <w:t>64,</w:t>
            </w:r>
            <w:r w:rsidR="005954A4" w:rsidRPr="005954A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456" w:type="dxa"/>
            <w:hideMark/>
          </w:tcPr>
          <w:p w14:paraId="7B045D56" w14:textId="53667D63" w:rsidR="00FF4264" w:rsidRPr="00E06A35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46,07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12A76B10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Obelių gimnazija</w:t>
            </w:r>
            <w:r w:rsidR="00DD08FA" w:rsidRPr="00E06A35">
              <w:rPr>
                <w:sz w:val="20"/>
                <w:szCs w:val="20"/>
              </w:rPr>
              <w:t xml:space="preserve"> (0,6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DD08FA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5D235D56" w14:textId="77777777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46,3</w:t>
            </w:r>
          </w:p>
          <w:p w14:paraId="7E71D9B5" w14:textId="7F398800" w:rsidR="00B5098D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70B9E093" w14:textId="6B01E9F6" w:rsidR="00FF4264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25,8</w:t>
            </w:r>
          </w:p>
        </w:tc>
        <w:tc>
          <w:tcPr>
            <w:tcW w:w="1456" w:type="dxa"/>
            <w:hideMark/>
          </w:tcPr>
          <w:p w14:paraId="25E94FEE" w14:textId="7C9D14E0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20,5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0C09777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5F1BA2D9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Tūbelio progimnazija (1 pareigybė projekto įgyvendinimo laikotarpiui</w:t>
            </w:r>
            <w:r w:rsidR="00DD08FA" w:rsidRPr="00E06A35">
              <w:rPr>
                <w:sz w:val="20"/>
                <w:szCs w:val="20"/>
              </w:rPr>
              <w:t>,</w:t>
            </w:r>
            <w:r w:rsidR="00DD08FA" w:rsidRPr="00E06A35">
              <w:t xml:space="preserve"> </w:t>
            </w:r>
            <w:r w:rsidR="00DD08FA" w:rsidRPr="00E06A35">
              <w:rPr>
                <w:sz w:val="20"/>
                <w:szCs w:val="20"/>
              </w:rPr>
              <w:t xml:space="preserve">1,4 pareigybės </w:t>
            </w:r>
            <w:r w:rsidR="00A16F58" w:rsidRPr="00E06A35">
              <w:rPr>
                <w:sz w:val="20"/>
                <w:szCs w:val="20"/>
              </w:rPr>
              <w:t xml:space="preserve">– </w:t>
            </w:r>
            <w:r w:rsidR="00DD08FA" w:rsidRPr="00E06A35">
              <w:rPr>
                <w:sz w:val="20"/>
                <w:szCs w:val="20"/>
              </w:rPr>
              <w:t>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DD08FA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1A33CFD9" w14:textId="41A080C7" w:rsidR="00FF4264" w:rsidRPr="00E06A35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96,44</w:t>
            </w:r>
          </w:p>
        </w:tc>
        <w:tc>
          <w:tcPr>
            <w:tcW w:w="1310" w:type="dxa"/>
            <w:noWrap/>
            <w:hideMark/>
          </w:tcPr>
          <w:p w14:paraId="50B96CCE" w14:textId="2CDF46B9" w:rsidR="00FF4264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53,35</w:t>
            </w:r>
          </w:p>
        </w:tc>
        <w:tc>
          <w:tcPr>
            <w:tcW w:w="1456" w:type="dxa"/>
            <w:hideMark/>
          </w:tcPr>
          <w:p w14:paraId="749004C8" w14:textId="6132C825" w:rsidR="00FF4264" w:rsidRPr="00E06A35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43,09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174BAAC0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Pandėlio gimnazija</w:t>
            </w:r>
            <w:r w:rsidR="00DD08FA" w:rsidRPr="00E06A35">
              <w:rPr>
                <w:sz w:val="20"/>
                <w:szCs w:val="20"/>
              </w:rPr>
              <w:t>“(0,4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DD08FA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58C7F529" w14:textId="4F2E8D50" w:rsidR="00FF4264" w:rsidRPr="00E06A35" w:rsidRDefault="00B5098D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61,52</w:t>
            </w:r>
          </w:p>
        </w:tc>
        <w:tc>
          <w:tcPr>
            <w:tcW w:w="1310" w:type="dxa"/>
            <w:noWrap/>
            <w:hideMark/>
          </w:tcPr>
          <w:p w14:paraId="0A150642" w14:textId="18DCBC54" w:rsidR="006E2EF4" w:rsidRPr="00E06A35" w:rsidRDefault="006E2EF4" w:rsidP="006E2EF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39,46</w:t>
            </w:r>
          </w:p>
        </w:tc>
        <w:tc>
          <w:tcPr>
            <w:tcW w:w="1456" w:type="dxa"/>
            <w:hideMark/>
          </w:tcPr>
          <w:p w14:paraId="639DB5B7" w14:textId="38DAFD1E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22,06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2968143A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  <w:hideMark/>
          </w:tcPr>
          <w:p w14:paraId="472382E9" w14:textId="7B8CB42E" w:rsidR="00FF4264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55,52</w:t>
            </w:r>
          </w:p>
        </w:tc>
        <w:tc>
          <w:tcPr>
            <w:tcW w:w="1310" w:type="dxa"/>
            <w:noWrap/>
            <w:hideMark/>
          </w:tcPr>
          <w:p w14:paraId="38620F0B" w14:textId="6F62500E" w:rsidR="00FF4264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4E7F024" w14:textId="75262BA8" w:rsidR="00FF4264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22,27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7B8A3FFE" w14:textId="3AEC96C0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30,07</w:t>
            </w:r>
          </w:p>
        </w:tc>
        <w:tc>
          <w:tcPr>
            <w:tcW w:w="1310" w:type="dxa"/>
            <w:noWrap/>
            <w:hideMark/>
          </w:tcPr>
          <w:p w14:paraId="01C5EE62" w14:textId="5D30A23C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10,95</w:t>
            </w:r>
          </w:p>
        </w:tc>
        <w:tc>
          <w:tcPr>
            <w:tcW w:w="1456" w:type="dxa"/>
            <w:hideMark/>
          </w:tcPr>
          <w:p w14:paraId="2156E9DD" w14:textId="2DCCCF16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1E20D095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Lymano muzikos mokyklos </w:t>
            </w:r>
            <w:r w:rsidR="00A16F58"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>horeografijos 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5,08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1C0CD99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202B029C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(bendrojo ir neformaliojo ugdymo)</w:t>
            </w:r>
          </w:p>
        </w:tc>
      </w:tr>
      <w:tr w:rsidR="00D3419E" w:rsidRPr="004024B2" w14:paraId="451B554F" w14:textId="77777777" w:rsidTr="00D3419E">
        <w:trPr>
          <w:trHeight w:val="417"/>
        </w:trPr>
        <w:tc>
          <w:tcPr>
            <w:tcW w:w="870" w:type="dxa"/>
          </w:tcPr>
          <w:p w14:paraId="20E8F26A" w14:textId="2A96D90C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3A898F0" w14:textId="78117C2B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</w:tcPr>
          <w:p w14:paraId="15FFED28" w14:textId="51D58384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26,98</w:t>
            </w:r>
          </w:p>
        </w:tc>
        <w:tc>
          <w:tcPr>
            <w:tcW w:w="1310" w:type="dxa"/>
          </w:tcPr>
          <w:p w14:paraId="1639D354" w14:textId="07234F9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23,98</w:t>
            </w:r>
          </w:p>
        </w:tc>
        <w:tc>
          <w:tcPr>
            <w:tcW w:w="1456" w:type="dxa"/>
          </w:tcPr>
          <w:p w14:paraId="436CEF0B" w14:textId="70B06E1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</w:tr>
      <w:tr w:rsidR="00D3419E" w:rsidRPr="004024B2" w14:paraId="1434232A" w14:textId="77777777" w:rsidTr="00D3419E">
        <w:trPr>
          <w:trHeight w:val="267"/>
        </w:trPr>
        <w:tc>
          <w:tcPr>
            <w:tcW w:w="870" w:type="dxa"/>
          </w:tcPr>
          <w:p w14:paraId="325FD134" w14:textId="3B7CC206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0E984B2" w14:textId="3C2C2D48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</w:tcPr>
          <w:p w14:paraId="39945B1C" w14:textId="05D1F97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0B780EBA" w14:textId="635C7A6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17D9A8F9" w14:textId="6DD0033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2,7</w:t>
            </w:r>
          </w:p>
        </w:tc>
      </w:tr>
      <w:tr w:rsidR="00D3419E" w:rsidRPr="004024B2" w14:paraId="5CA9E8A3" w14:textId="77777777" w:rsidTr="003C4631">
        <w:trPr>
          <w:trHeight w:val="379"/>
        </w:trPr>
        <w:tc>
          <w:tcPr>
            <w:tcW w:w="870" w:type="dxa"/>
          </w:tcPr>
          <w:p w14:paraId="7CF72C66" w14:textId="30B8C8CF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316F470E" w14:textId="3BFC6CAA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1505C39F" w14:textId="5DE189D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192E74F2" w14:textId="30715C3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264914A6" w14:textId="07EB676D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2,35</w:t>
            </w:r>
          </w:p>
        </w:tc>
      </w:tr>
      <w:tr w:rsidR="00D3419E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</w:p>
        </w:tc>
      </w:tr>
      <w:tr w:rsidR="00D3419E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707366B1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9,1</w:t>
            </w:r>
          </w:p>
        </w:tc>
        <w:tc>
          <w:tcPr>
            <w:tcW w:w="1310" w:type="dxa"/>
            <w:noWrap/>
            <w:hideMark/>
          </w:tcPr>
          <w:p w14:paraId="6723330E" w14:textId="4237FBE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9,1</w:t>
            </w:r>
          </w:p>
        </w:tc>
        <w:tc>
          <w:tcPr>
            <w:tcW w:w="1456" w:type="dxa"/>
            <w:hideMark/>
          </w:tcPr>
          <w:p w14:paraId="4C6A926D" w14:textId="3E915E3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</w:tr>
      <w:tr w:rsidR="00D3419E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D3419E" w:rsidRPr="004024B2" w:rsidRDefault="00D3419E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52D5CEAE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</w:t>
            </w:r>
          </w:p>
        </w:tc>
        <w:tc>
          <w:tcPr>
            <w:tcW w:w="1310" w:type="dxa"/>
            <w:hideMark/>
          </w:tcPr>
          <w:p w14:paraId="4FD48251" w14:textId="6F66C538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hideMark/>
          </w:tcPr>
          <w:p w14:paraId="2698377E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</w:t>
            </w:r>
          </w:p>
        </w:tc>
      </w:tr>
      <w:tr w:rsidR="00D3419E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D3419E" w:rsidRPr="00AB0409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49446089" w14:textId="4A33EFB6" w:rsidR="00D3419E" w:rsidRPr="00AB0409" w:rsidRDefault="00D3419E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0F1051B5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101,3</w:t>
            </w:r>
          </w:p>
        </w:tc>
        <w:tc>
          <w:tcPr>
            <w:tcW w:w="1310" w:type="dxa"/>
            <w:hideMark/>
          </w:tcPr>
          <w:p w14:paraId="0E47D7AE" w14:textId="5373B90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101,3</w:t>
            </w:r>
          </w:p>
        </w:tc>
        <w:tc>
          <w:tcPr>
            <w:tcW w:w="1456" w:type="dxa"/>
            <w:hideMark/>
          </w:tcPr>
          <w:p w14:paraId="7529EE59" w14:textId="54A8F7A5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24,3</w:t>
            </w:r>
          </w:p>
        </w:tc>
        <w:tc>
          <w:tcPr>
            <w:tcW w:w="1310" w:type="dxa"/>
            <w:hideMark/>
          </w:tcPr>
          <w:p w14:paraId="7B4DA055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24,3</w:t>
            </w:r>
          </w:p>
        </w:tc>
        <w:tc>
          <w:tcPr>
            <w:tcW w:w="1456" w:type="dxa"/>
            <w:hideMark/>
          </w:tcPr>
          <w:p w14:paraId="6C0CC3E7" w14:textId="713149FB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28D3E593" w:rsidR="00D3419E" w:rsidRPr="00E06A35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27,32</w:t>
            </w:r>
          </w:p>
        </w:tc>
        <w:tc>
          <w:tcPr>
            <w:tcW w:w="1310" w:type="dxa"/>
            <w:noWrap/>
            <w:hideMark/>
          </w:tcPr>
          <w:p w14:paraId="496C2881" w14:textId="0D79B84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4C2A9A00" w:rsidR="00D3419E" w:rsidRPr="00E06A35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8,07</w:t>
            </w:r>
          </w:p>
        </w:tc>
      </w:tr>
      <w:tr w:rsidR="00D3419E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D3419E" w:rsidRPr="007042BF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42BF">
              <w:rPr>
                <w:sz w:val="20"/>
                <w:szCs w:val="20"/>
                <w:highlight w:val="yellow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1A86A76C" w14:textId="77777777" w:rsidR="00D3419E" w:rsidRPr="007042BF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42BF">
              <w:rPr>
                <w:sz w:val="20"/>
                <w:szCs w:val="20"/>
                <w:highlight w:val="yellow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4FA09795" w:rsidR="00D3419E" w:rsidRPr="007042BF" w:rsidRDefault="007042B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42BF">
              <w:rPr>
                <w:sz w:val="20"/>
                <w:szCs w:val="20"/>
                <w:highlight w:val="yellow"/>
              </w:rPr>
              <w:t>86,75</w:t>
            </w:r>
          </w:p>
        </w:tc>
        <w:tc>
          <w:tcPr>
            <w:tcW w:w="1310" w:type="dxa"/>
            <w:noWrap/>
            <w:hideMark/>
          </w:tcPr>
          <w:p w14:paraId="15ABFFFB" w14:textId="5EE4042C" w:rsidR="00D3419E" w:rsidRPr="007042BF" w:rsidRDefault="007042B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42BF">
              <w:rPr>
                <w:sz w:val="20"/>
                <w:szCs w:val="20"/>
                <w:highlight w:val="yellow"/>
              </w:rPr>
              <w:t>86,75</w:t>
            </w:r>
          </w:p>
        </w:tc>
        <w:tc>
          <w:tcPr>
            <w:tcW w:w="1456" w:type="dxa"/>
            <w:hideMark/>
          </w:tcPr>
          <w:p w14:paraId="0287F490" w14:textId="1ED4AA8E" w:rsidR="00D3419E" w:rsidRPr="007042BF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419E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4AE9E96A" w:rsidR="00D3419E" w:rsidRPr="00E06A35" w:rsidRDefault="00D3419E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A35">
              <w:rPr>
                <w:b/>
                <w:sz w:val="20"/>
                <w:szCs w:val="20"/>
              </w:rPr>
              <w:t>14</w:t>
            </w:r>
            <w:r w:rsidR="00272841">
              <w:rPr>
                <w:b/>
                <w:sz w:val="20"/>
                <w:szCs w:val="20"/>
              </w:rPr>
              <w:t>42,</w:t>
            </w:r>
            <w:r w:rsidR="005954A4">
              <w:rPr>
                <w:b/>
                <w:sz w:val="20"/>
                <w:szCs w:val="20"/>
              </w:rPr>
              <w:t>6</w:t>
            </w:r>
            <w:r w:rsidR="002728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3545A3A5" w14:textId="6EEBD889" w:rsidR="00D3419E" w:rsidRPr="00E06A35" w:rsidRDefault="005954A4" w:rsidP="007042BF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1159,6</w:t>
            </w:r>
            <w:r w:rsidR="007042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6" w:type="dxa"/>
            <w:noWrap/>
            <w:hideMark/>
          </w:tcPr>
          <w:p w14:paraId="4BA3C935" w14:textId="3AABDAB4" w:rsidR="00D3419E" w:rsidRPr="00E06A35" w:rsidRDefault="0088107C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A35">
              <w:rPr>
                <w:b/>
                <w:sz w:val="20"/>
                <w:szCs w:val="20"/>
              </w:rPr>
              <w:t>283,02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lastRenderedPageBreak/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D60E894" w14:textId="3ECC09AF" w:rsidR="00511CCC" w:rsidRDefault="003D7972" w:rsidP="00511CCC">
      <w:pPr>
        <w:jc w:val="center"/>
        <w:rPr>
          <w:b/>
        </w:rPr>
      </w:pPr>
      <w:r>
        <w:rPr>
          <w:b/>
        </w:rPr>
        <w:t>SPRENDIMO PROJEKTO</w:t>
      </w:r>
    </w:p>
    <w:p w14:paraId="7BC2C37C" w14:textId="7B1ECC87" w:rsidR="003D7972" w:rsidRDefault="00DA5B5C" w:rsidP="003B60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</w:pPr>
      <w:r>
        <w:rPr>
          <w:b/>
          <w:szCs w:val="20"/>
        </w:rPr>
        <w:t>„</w:t>
      </w:r>
      <w:r w:rsidR="00105BED">
        <w:rPr>
          <w:b/>
          <w:szCs w:val="20"/>
        </w:rPr>
        <w:t>DĖL ROKIŠKIO RAJONO SAVIVALDYBĖS TARYBOS  2022 M. VASARIO 23D. SPRENDIMO NR. TS- 26 „DĖL DIDŽIAUSIO LEISTINO DARBUOTOJŲ PAREIGYBIŲ SKAIČIAUS</w:t>
      </w:r>
      <w:r w:rsidR="00105BED">
        <w:rPr>
          <w:b/>
        </w:rPr>
        <w:t xml:space="preserve"> PATVIRTINIMO ROKIŠKIO RAJONO SAVI</w:t>
      </w:r>
      <w:r w:rsidR="00DD16A6">
        <w:rPr>
          <w:b/>
        </w:rPr>
        <w:t>VALDYBĖS BIUDŽETINĖSE ĮSTAIGOSE</w:t>
      </w:r>
      <w:r w:rsidR="00105BED">
        <w:rPr>
          <w:b/>
        </w:rPr>
        <w:t xml:space="preserve">“ </w:t>
      </w:r>
      <w:r w:rsidR="003B603D">
        <w:rPr>
          <w:b/>
        </w:rPr>
        <w:t xml:space="preserve">PAKEITIMO“ </w:t>
      </w:r>
      <w:r w:rsidR="003D7972"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0658A9EA" w14:textId="77777777" w:rsidR="00511CCC" w:rsidRPr="00511CCC" w:rsidRDefault="00511CCC" w:rsidP="00511CCC">
      <w:pPr>
        <w:tabs>
          <w:tab w:val="left" w:pos="5040"/>
        </w:tabs>
        <w:rPr>
          <w:b/>
        </w:rPr>
      </w:pPr>
    </w:p>
    <w:p w14:paraId="127B2418" w14:textId="4A035469" w:rsidR="00511CCC" w:rsidRPr="00511CCC" w:rsidRDefault="00D40812" w:rsidP="00D40812">
      <w:pPr>
        <w:tabs>
          <w:tab w:val="left" w:pos="1276"/>
        </w:tabs>
        <w:jc w:val="both"/>
        <w:rPr>
          <w:bCs/>
          <w:color w:val="000000"/>
        </w:rPr>
      </w:pPr>
      <w:r>
        <w:rPr>
          <w:b/>
        </w:rPr>
        <w:tab/>
      </w:r>
      <w:r w:rsidR="00511CCC" w:rsidRPr="00511CCC">
        <w:rPr>
          <w:b/>
        </w:rPr>
        <w:t xml:space="preserve">Sprendimo projekto tikslai ir uždaviniai. </w:t>
      </w:r>
      <w:r w:rsidR="00511CCC" w:rsidRPr="00905272">
        <w:t>P</w:t>
      </w:r>
      <w:r w:rsidR="00511CCC" w:rsidRPr="00905272">
        <w:rPr>
          <w:bCs/>
          <w:color w:val="000000"/>
        </w:rPr>
        <w:t>atikslinti</w:t>
      </w:r>
      <w:r w:rsidR="00511CCC" w:rsidRPr="00511CCC">
        <w:rPr>
          <w:bCs/>
          <w:color w:val="000000"/>
        </w:rPr>
        <w:t xml:space="preserve"> didžiausią leistiną darbuotojų skaičių Rokiškio rajono biudžetinėse įstaigose.</w:t>
      </w:r>
    </w:p>
    <w:p w14:paraId="19245508" w14:textId="6A707F7B" w:rsidR="00511CCC" w:rsidRPr="00511CCC" w:rsidRDefault="00D40812" w:rsidP="00D40812">
      <w:pPr>
        <w:tabs>
          <w:tab w:val="left" w:pos="1276"/>
        </w:tabs>
        <w:jc w:val="both"/>
        <w:rPr>
          <w:color w:val="000000"/>
        </w:rPr>
      </w:pPr>
      <w:r>
        <w:rPr>
          <w:b/>
          <w:bCs/>
        </w:rPr>
        <w:tab/>
      </w:r>
      <w:r w:rsidR="00511CCC" w:rsidRPr="00511CCC">
        <w:rPr>
          <w:b/>
          <w:bCs/>
        </w:rPr>
        <w:t>Teisinio reguliavimo nuostatos.</w:t>
      </w:r>
      <w:r w:rsidR="00511CCC" w:rsidRPr="00511CCC">
        <w:t xml:space="preserve"> Sprendimo projekta</w:t>
      </w:r>
      <w:r w:rsidR="00DD16A6">
        <w:t xml:space="preserve">s yra parengtas, vadovaujantis </w:t>
      </w:r>
      <w:r w:rsidR="00511CCC"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 w:rsidR="00511CCC">
        <w:rPr>
          <w:color w:val="000000"/>
        </w:rPr>
        <w:t>, 3 dalies 7 punktu ir 4 dalimi.</w:t>
      </w:r>
    </w:p>
    <w:p w14:paraId="148842FF" w14:textId="4B3F81EA" w:rsidR="00FB4238" w:rsidRDefault="00511CCC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</w:r>
      <w:r w:rsidR="00D40812">
        <w:rPr>
          <w:b/>
          <w:bCs/>
        </w:rPr>
        <w:tab/>
      </w:r>
      <w:r w:rsidRPr="00511CCC">
        <w:rPr>
          <w:b/>
          <w:bCs/>
        </w:rPr>
        <w:t>Sprendimo projekto esmė.</w:t>
      </w:r>
      <w:r w:rsidRPr="00511CCC">
        <w:t xml:space="preserve"> Bendras </w:t>
      </w:r>
      <w:r w:rsidR="00AE2915">
        <w:t xml:space="preserve">teikiamas tvirtinti </w:t>
      </w:r>
      <w:r w:rsidR="00905272" w:rsidRPr="00511CCC">
        <w:t xml:space="preserve">pareigybių </w:t>
      </w:r>
      <w:r w:rsidR="00905272">
        <w:t>skaičius</w:t>
      </w:r>
      <w:r w:rsidR="007042BF">
        <w:t xml:space="preserve"> Rokiškio rajono sa</w:t>
      </w:r>
      <w:r w:rsidR="005954A4">
        <w:t xml:space="preserve">vivaldybės biudžetinėse įstaigose </w:t>
      </w:r>
      <w:r w:rsidR="00B615CF">
        <w:t xml:space="preserve">– </w:t>
      </w:r>
      <w:r w:rsidR="005954A4">
        <w:t>1442,68</w:t>
      </w:r>
      <w:r w:rsidR="00905272" w:rsidRPr="002E4DED">
        <w:t>.</w:t>
      </w:r>
      <w:r w:rsidR="00AE2915">
        <w:t xml:space="preserve"> </w:t>
      </w:r>
      <w:r w:rsidR="0097239C">
        <w:t xml:space="preserve">Pareigybių skaičius didinamas </w:t>
      </w:r>
      <w:r w:rsidR="005954A4">
        <w:t>11,75</w:t>
      </w:r>
      <w:r w:rsidR="0097239C">
        <w:t xml:space="preserve">, iš jų: </w:t>
      </w:r>
    </w:p>
    <w:p w14:paraId="60DFCE5A" w14:textId="4C81A336" w:rsidR="005954A4" w:rsidRDefault="00A16F58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>
        <w:tab/>
      </w:r>
      <w:r>
        <w:tab/>
      </w:r>
      <w:r w:rsidR="005954A4">
        <w:t>0,5</w:t>
      </w:r>
      <w:r w:rsidR="0097239C">
        <w:t xml:space="preserve"> pareigybė</w:t>
      </w:r>
      <w:r w:rsidR="005954A4">
        <w:t xml:space="preserve">s </w:t>
      </w:r>
      <w:r w:rsidR="00B615CF">
        <w:t xml:space="preserve">– </w:t>
      </w:r>
      <w:r w:rsidR="005954A4">
        <w:t>Rokiškio J</w:t>
      </w:r>
      <w:r w:rsidR="00B615CF">
        <w:t xml:space="preserve">uozo </w:t>
      </w:r>
      <w:r w:rsidR="005954A4">
        <w:t>Tumo</w:t>
      </w:r>
      <w:r w:rsidR="0097239C">
        <w:t xml:space="preserve"> </w:t>
      </w:r>
      <w:r w:rsidR="005954A4">
        <w:t>Vaižganto gimnazijai ( psichologo pareigybei);</w:t>
      </w:r>
    </w:p>
    <w:p w14:paraId="5CAF2E20" w14:textId="6CA0A649" w:rsidR="005954A4" w:rsidRDefault="00B615CF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>
        <w:tab/>
      </w:r>
      <w:r>
        <w:tab/>
      </w:r>
      <w:r w:rsidR="00DA5B5C">
        <w:t xml:space="preserve">0,25 pareigybės </w:t>
      </w:r>
      <w:r>
        <w:t xml:space="preserve">– </w:t>
      </w:r>
      <w:r w:rsidR="005954A4">
        <w:t xml:space="preserve">Kamajų A.Strazdo gimnazijos ikimokyklinio ugdymo skyriui mokytojo padėjėjo (pagal Rokiškio rajono savivaldybės Pedagoginės psichologinės tarnybos </w:t>
      </w:r>
      <w:r w:rsidR="00BB0037">
        <w:t>pažymą), nes grupėje ugdomas vaikas, turintis negalią dėl įvairiapusių raidos sutrikimų bei didelių specialiųjų ugdymosi poreikių;</w:t>
      </w:r>
    </w:p>
    <w:p w14:paraId="039DD338" w14:textId="52201DD8" w:rsidR="009B39A8" w:rsidRDefault="00B615CF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>
        <w:tab/>
      </w:r>
      <w:r>
        <w:tab/>
      </w:r>
      <w:r w:rsidR="00BB0037">
        <w:t xml:space="preserve">11 socialinių darbuotojų pareigybių perkeliama iš savivaldybės administracijos </w:t>
      </w:r>
      <w:r w:rsidR="000650FA">
        <w:t>(</w:t>
      </w:r>
      <w:r w:rsidR="00BB0037">
        <w:t>seniūnijų</w:t>
      </w:r>
      <w:r w:rsidR="000650FA">
        <w:t>)</w:t>
      </w:r>
      <w:r w:rsidR="00BB0037">
        <w:t xml:space="preserve"> į O</w:t>
      </w:r>
      <w:r w:rsidR="00ED5960">
        <w:t xml:space="preserve">belių socialinių paslaugų namus, nes </w:t>
      </w:r>
      <w:r>
        <w:t>s</w:t>
      </w:r>
      <w:r w:rsidR="00ED5960">
        <w:t>ocialinės apsaugos ir darbo ministro 2022</w:t>
      </w:r>
      <w:r>
        <w:t xml:space="preserve"> </w:t>
      </w:r>
      <w:r w:rsidR="00ED5960">
        <w:t>m. rugpjūčio 9 d. įsakymu Nr. A1-528, specialisto socialiniam darbui ( dirbantis seniūnijoje) pareigybė įtraukta į socialinių paslaugų</w:t>
      </w:r>
      <w:r w:rsidR="001F1E14">
        <w:t xml:space="preserve"> srities darbuotojų  pareigybių sąrašą.</w:t>
      </w:r>
    </w:p>
    <w:p w14:paraId="4B820482" w14:textId="51E8523D" w:rsidR="00D40812" w:rsidRDefault="00D40812" w:rsidP="00D40812">
      <w:pPr>
        <w:pStyle w:val="Antrats"/>
        <w:tabs>
          <w:tab w:val="right" w:pos="851"/>
          <w:tab w:val="left" w:pos="1276"/>
        </w:tabs>
        <w:jc w:val="both"/>
      </w:pPr>
      <w:r>
        <w:tab/>
      </w:r>
      <w:r>
        <w:tab/>
      </w:r>
      <w:r w:rsidR="003D7972" w:rsidRPr="00F32D67">
        <w:rPr>
          <w:b/>
        </w:rPr>
        <w:t>Laukiami rezultatai.</w:t>
      </w:r>
      <w:r w:rsidR="001F1E14">
        <w:rPr>
          <w:b/>
        </w:rPr>
        <w:t xml:space="preserve"> </w:t>
      </w:r>
      <w:r w:rsidR="001F1E14">
        <w:t>Sprendimas atitiks teisės aktų reikalavimus.</w:t>
      </w:r>
    </w:p>
    <w:p w14:paraId="5451A785" w14:textId="2729D42B" w:rsidR="003D7972" w:rsidRPr="00CB66B4" w:rsidRDefault="00D40812" w:rsidP="00D40812">
      <w:pPr>
        <w:pStyle w:val="Antrats"/>
        <w:tabs>
          <w:tab w:val="right" w:pos="851"/>
          <w:tab w:val="left" w:pos="1276"/>
        </w:tabs>
        <w:jc w:val="both"/>
      </w:pPr>
      <w:r>
        <w:tab/>
      </w:r>
      <w:r>
        <w:tab/>
      </w:r>
      <w:r w:rsidR="003D7972" w:rsidRPr="00F32D67">
        <w:rPr>
          <w:b/>
          <w:bCs/>
        </w:rPr>
        <w:t>Finans</w:t>
      </w:r>
      <w:r w:rsidR="00696EED" w:rsidRPr="00F32D67">
        <w:rPr>
          <w:b/>
          <w:bCs/>
        </w:rPr>
        <w:t>av</w:t>
      </w:r>
      <w:r w:rsidR="001F1E14">
        <w:rPr>
          <w:b/>
          <w:bCs/>
        </w:rPr>
        <w:t xml:space="preserve">imo šaltiniai ir lėšų poreikis. </w:t>
      </w:r>
      <w:r w:rsidR="00CB66B4" w:rsidRPr="00CB66B4">
        <w:rPr>
          <w:bCs/>
        </w:rPr>
        <w:t>Papildomų lėšų nereiks.</w:t>
      </w:r>
    </w:p>
    <w:p w14:paraId="7F2A9A75" w14:textId="027E399B" w:rsidR="00EE21F1" w:rsidRDefault="00D40812" w:rsidP="00D40812">
      <w:pPr>
        <w:tabs>
          <w:tab w:val="left" w:pos="1276"/>
        </w:tabs>
        <w:jc w:val="both"/>
        <w:rPr>
          <w:color w:val="000000"/>
        </w:rPr>
      </w:pPr>
      <w:r>
        <w:rPr>
          <w:bCs/>
          <w:color w:val="000000"/>
        </w:rPr>
        <w:tab/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="00EE21F1" w:rsidRPr="00EE21F1">
        <w:rPr>
          <w:color w:val="000000"/>
        </w:rPr>
        <w:t xml:space="preserve"> </w:t>
      </w:r>
      <w:r w:rsidR="00EE21F1">
        <w:rPr>
          <w:color w:val="000000"/>
        </w:rPr>
        <w:t>Projektas neprieštarauja galiojantiems teisės aktams.</w:t>
      </w:r>
    </w:p>
    <w:p w14:paraId="20748280" w14:textId="79EEBB2C" w:rsidR="00EE21F1" w:rsidRDefault="00D40812" w:rsidP="00D40812">
      <w:pPr>
        <w:tabs>
          <w:tab w:val="left" w:pos="1276"/>
        </w:tabs>
        <w:jc w:val="both"/>
        <w:rPr>
          <w:color w:val="000000"/>
        </w:rPr>
      </w:pPr>
      <w:r>
        <w:tab/>
      </w:r>
      <w:r w:rsidR="00EE21F1">
        <w:rPr>
          <w:b/>
        </w:rPr>
        <w:t xml:space="preserve">Antikorupcinis vertinimas. </w:t>
      </w:r>
      <w:r w:rsidR="00EE21F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D40812">
      <w:pPr>
        <w:tabs>
          <w:tab w:val="left" w:pos="1276"/>
        </w:tabs>
      </w:pPr>
    </w:p>
    <w:p w14:paraId="4AC428DD" w14:textId="77777777" w:rsidR="00D56235" w:rsidRDefault="00D56235" w:rsidP="00D40812">
      <w:pPr>
        <w:tabs>
          <w:tab w:val="left" w:pos="1276"/>
        </w:tabs>
      </w:pPr>
    </w:p>
    <w:p w14:paraId="6260940E" w14:textId="77777777" w:rsidR="00D56235" w:rsidRDefault="00D56235" w:rsidP="00D40812">
      <w:pPr>
        <w:tabs>
          <w:tab w:val="left" w:pos="1276"/>
        </w:tabs>
      </w:pPr>
    </w:p>
    <w:p w14:paraId="2E1CBAE6" w14:textId="77777777" w:rsidR="00D56235" w:rsidRDefault="00D56235" w:rsidP="00D40812">
      <w:pPr>
        <w:tabs>
          <w:tab w:val="left" w:pos="1276"/>
        </w:tabs>
      </w:pPr>
    </w:p>
    <w:p w14:paraId="6826E1CE" w14:textId="22CB0EA9" w:rsidR="003D7972" w:rsidRDefault="00EE21F1" w:rsidP="00992803">
      <w:pPr>
        <w:jc w:val="both"/>
      </w:pPr>
      <w:r>
        <w:t xml:space="preserve">Finansų skyriaus vedėja                              </w:t>
      </w:r>
      <w:r w:rsidR="00905272">
        <w:tab/>
      </w:r>
      <w:r w:rsidR="00905272">
        <w:tab/>
      </w:r>
      <w:r w:rsidR="00905272">
        <w:tab/>
      </w:r>
      <w:r>
        <w:t>Reda Dūdienė</w:t>
      </w:r>
    </w:p>
    <w:sectPr w:rsidR="003D7972" w:rsidSect="00DD16A6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2BC0" w14:textId="77777777" w:rsidR="00F25810" w:rsidRDefault="00F25810" w:rsidP="00AF4743">
      <w:r>
        <w:separator/>
      </w:r>
    </w:p>
  </w:endnote>
  <w:endnote w:type="continuationSeparator" w:id="0">
    <w:p w14:paraId="77B98049" w14:textId="77777777" w:rsidR="00F25810" w:rsidRDefault="00F25810" w:rsidP="00AF4743">
      <w:r>
        <w:continuationSeparator/>
      </w:r>
    </w:p>
  </w:endnote>
  <w:endnote w:type="continuationNotice" w:id="1">
    <w:p w14:paraId="71646032" w14:textId="77777777" w:rsidR="00F25810" w:rsidRDefault="00F25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61E2" w14:textId="77777777" w:rsidR="00F25810" w:rsidRDefault="00F25810" w:rsidP="00AF4743">
      <w:r>
        <w:separator/>
      </w:r>
    </w:p>
  </w:footnote>
  <w:footnote w:type="continuationSeparator" w:id="0">
    <w:p w14:paraId="49059D92" w14:textId="77777777" w:rsidR="00F25810" w:rsidRDefault="00F25810" w:rsidP="00AF4743">
      <w:r>
        <w:continuationSeparator/>
      </w:r>
    </w:p>
  </w:footnote>
  <w:footnote w:type="continuationNotice" w:id="1">
    <w:p w14:paraId="3957FBD4" w14:textId="77777777" w:rsidR="00F25810" w:rsidRDefault="00F258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D9140B" w:rsidRDefault="00D9140B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11D94"/>
    <w:rsid w:val="00021F06"/>
    <w:rsid w:val="00022453"/>
    <w:rsid w:val="00025AFD"/>
    <w:rsid w:val="000420D8"/>
    <w:rsid w:val="00043E7E"/>
    <w:rsid w:val="00043FE5"/>
    <w:rsid w:val="00044505"/>
    <w:rsid w:val="00044EEF"/>
    <w:rsid w:val="00053088"/>
    <w:rsid w:val="000650FA"/>
    <w:rsid w:val="00072C51"/>
    <w:rsid w:val="00094028"/>
    <w:rsid w:val="000946FB"/>
    <w:rsid w:val="0009490C"/>
    <w:rsid w:val="000A5173"/>
    <w:rsid w:val="000A5A93"/>
    <w:rsid w:val="000B073E"/>
    <w:rsid w:val="000B26CC"/>
    <w:rsid w:val="000B53EB"/>
    <w:rsid w:val="000C2AD1"/>
    <w:rsid w:val="000C625F"/>
    <w:rsid w:val="000D3CD1"/>
    <w:rsid w:val="000D7A01"/>
    <w:rsid w:val="000E118A"/>
    <w:rsid w:val="000E32CC"/>
    <w:rsid w:val="00103006"/>
    <w:rsid w:val="00105BED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521D"/>
    <w:rsid w:val="00195674"/>
    <w:rsid w:val="001B48AB"/>
    <w:rsid w:val="001B579B"/>
    <w:rsid w:val="001B6149"/>
    <w:rsid w:val="001C3250"/>
    <w:rsid w:val="001D3054"/>
    <w:rsid w:val="001D4553"/>
    <w:rsid w:val="001F1E14"/>
    <w:rsid w:val="001F6432"/>
    <w:rsid w:val="00203E73"/>
    <w:rsid w:val="0021608E"/>
    <w:rsid w:val="00225CC1"/>
    <w:rsid w:val="002448D7"/>
    <w:rsid w:val="0024557E"/>
    <w:rsid w:val="00251760"/>
    <w:rsid w:val="002727CB"/>
    <w:rsid w:val="00272841"/>
    <w:rsid w:val="002A2053"/>
    <w:rsid w:val="002B1AA0"/>
    <w:rsid w:val="002B409B"/>
    <w:rsid w:val="002B5F39"/>
    <w:rsid w:val="002B67BD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51CD"/>
    <w:rsid w:val="00375498"/>
    <w:rsid w:val="00381ED7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D5595"/>
    <w:rsid w:val="003D7972"/>
    <w:rsid w:val="003E2F6D"/>
    <w:rsid w:val="003E4AAD"/>
    <w:rsid w:val="004024B2"/>
    <w:rsid w:val="00403FD3"/>
    <w:rsid w:val="004120A7"/>
    <w:rsid w:val="00442758"/>
    <w:rsid w:val="00442F6D"/>
    <w:rsid w:val="00446206"/>
    <w:rsid w:val="00454E52"/>
    <w:rsid w:val="0045514B"/>
    <w:rsid w:val="00462B9C"/>
    <w:rsid w:val="00477A88"/>
    <w:rsid w:val="00486AFB"/>
    <w:rsid w:val="004C68C4"/>
    <w:rsid w:val="004D4B38"/>
    <w:rsid w:val="004E0D2D"/>
    <w:rsid w:val="004F4EF8"/>
    <w:rsid w:val="004F7737"/>
    <w:rsid w:val="004F7BAC"/>
    <w:rsid w:val="00511CCC"/>
    <w:rsid w:val="005153AB"/>
    <w:rsid w:val="00527F6F"/>
    <w:rsid w:val="005409E6"/>
    <w:rsid w:val="00542445"/>
    <w:rsid w:val="005561F4"/>
    <w:rsid w:val="00563605"/>
    <w:rsid w:val="00583CCE"/>
    <w:rsid w:val="00591E53"/>
    <w:rsid w:val="005954A4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60A2E"/>
    <w:rsid w:val="00674290"/>
    <w:rsid w:val="00674F74"/>
    <w:rsid w:val="006819E2"/>
    <w:rsid w:val="00682550"/>
    <w:rsid w:val="006867A6"/>
    <w:rsid w:val="006941E8"/>
    <w:rsid w:val="00696EED"/>
    <w:rsid w:val="006A01F6"/>
    <w:rsid w:val="006A1BFB"/>
    <w:rsid w:val="006B0A9A"/>
    <w:rsid w:val="006B3AD5"/>
    <w:rsid w:val="006B73C1"/>
    <w:rsid w:val="006C0574"/>
    <w:rsid w:val="006C0AF6"/>
    <w:rsid w:val="006C32B7"/>
    <w:rsid w:val="006D61FF"/>
    <w:rsid w:val="006E2EF4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2438"/>
    <w:rsid w:val="00753696"/>
    <w:rsid w:val="00754649"/>
    <w:rsid w:val="007560B9"/>
    <w:rsid w:val="00767BCA"/>
    <w:rsid w:val="007700D1"/>
    <w:rsid w:val="0077269A"/>
    <w:rsid w:val="00773A1C"/>
    <w:rsid w:val="00775889"/>
    <w:rsid w:val="00785852"/>
    <w:rsid w:val="00794CBF"/>
    <w:rsid w:val="007A2FC9"/>
    <w:rsid w:val="007B2455"/>
    <w:rsid w:val="007B3573"/>
    <w:rsid w:val="007B4F6F"/>
    <w:rsid w:val="007B75C6"/>
    <w:rsid w:val="007C6037"/>
    <w:rsid w:val="007D1FA8"/>
    <w:rsid w:val="007D4A3C"/>
    <w:rsid w:val="007E1A1C"/>
    <w:rsid w:val="007E4D6D"/>
    <w:rsid w:val="007E5117"/>
    <w:rsid w:val="007F4E60"/>
    <w:rsid w:val="00805C18"/>
    <w:rsid w:val="008066A7"/>
    <w:rsid w:val="00812E70"/>
    <w:rsid w:val="00826ADE"/>
    <w:rsid w:val="00826B06"/>
    <w:rsid w:val="00832EB4"/>
    <w:rsid w:val="00837F2C"/>
    <w:rsid w:val="0084674D"/>
    <w:rsid w:val="00850FCD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5159"/>
    <w:rsid w:val="008B65DA"/>
    <w:rsid w:val="008C2B65"/>
    <w:rsid w:val="008C34BC"/>
    <w:rsid w:val="008C350E"/>
    <w:rsid w:val="008E0C85"/>
    <w:rsid w:val="008E174D"/>
    <w:rsid w:val="008E6DB9"/>
    <w:rsid w:val="008F3E8D"/>
    <w:rsid w:val="00905272"/>
    <w:rsid w:val="00926E66"/>
    <w:rsid w:val="009417EB"/>
    <w:rsid w:val="00944861"/>
    <w:rsid w:val="009452C9"/>
    <w:rsid w:val="009455A0"/>
    <w:rsid w:val="009479A4"/>
    <w:rsid w:val="00960279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55B8"/>
    <w:rsid w:val="009B1A9F"/>
    <w:rsid w:val="009B39A8"/>
    <w:rsid w:val="009B7281"/>
    <w:rsid w:val="009C3834"/>
    <w:rsid w:val="009C631F"/>
    <w:rsid w:val="009C6E0F"/>
    <w:rsid w:val="009D5995"/>
    <w:rsid w:val="009D6661"/>
    <w:rsid w:val="009F61F0"/>
    <w:rsid w:val="00A10D7D"/>
    <w:rsid w:val="00A15E9A"/>
    <w:rsid w:val="00A16F58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689B"/>
    <w:rsid w:val="00A56E48"/>
    <w:rsid w:val="00A605C6"/>
    <w:rsid w:val="00A610DF"/>
    <w:rsid w:val="00A6264E"/>
    <w:rsid w:val="00A6386E"/>
    <w:rsid w:val="00A76007"/>
    <w:rsid w:val="00A81E26"/>
    <w:rsid w:val="00A839B3"/>
    <w:rsid w:val="00A96D8E"/>
    <w:rsid w:val="00AA1F0F"/>
    <w:rsid w:val="00AB0409"/>
    <w:rsid w:val="00AB0E40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442E"/>
    <w:rsid w:val="00BA05F2"/>
    <w:rsid w:val="00BA2E5A"/>
    <w:rsid w:val="00BB0037"/>
    <w:rsid w:val="00BB27B2"/>
    <w:rsid w:val="00BC2933"/>
    <w:rsid w:val="00BD3CB1"/>
    <w:rsid w:val="00BD6878"/>
    <w:rsid w:val="00C02069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2801"/>
    <w:rsid w:val="00CA398B"/>
    <w:rsid w:val="00CB66B4"/>
    <w:rsid w:val="00CB722D"/>
    <w:rsid w:val="00CC1FCA"/>
    <w:rsid w:val="00CE7985"/>
    <w:rsid w:val="00CF4754"/>
    <w:rsid w:val="00D045A1"/>
    <w:rsid w:val="00D2073F"/>
    <w:rsid w:val="00D31ADB"/>
    <w:rsid w:val="00D31DF6"/>
    <w:rsid w:val="00D3419E"/>
    <w:rsid w:val="00D357DC"/>
    <w:rsid w:val="00D40812"/>
    <w:rsid w:val="00D439C7"/>
    <w:rsid w:val="00D540BE"/>
    <w:rsid w:val="00D56235"/>
    <w:rsid w:val="00D60C36"/>
    <w:rsid w:val="00D64A41"/>
    <w:rsid w:val="00D70C90"/>
    <w:rsid w:val="00D74863"/>
    <w:rsid w:val="00D83F84"/>
    <w:rsid w:val="00D9140B"/>
    <w:rsid w:val="00DA3C26"/>
    <w:rsid w:val="00DA5B5C"/>
    <w:rsid w:val="00DB5F24"/>
    <w:rsid w:val="00DD08FA"/>
    <w:rsid w:val="00DD16A6"/>
    <w:rsid w:val="00DF4761"/>
    <w:rsid w:val="00DF791C"/>
    <w:rsid w:val="00E04735"/>
    <w:rsid w:val="00E06A35"/>
    <w:rsid w:val="00E17F1C"/>
    <w:rsid w:val="00E22BD5"/>
    <w:rsid w:val="00E32323"/>
    <w:rsid w:val="00E41312"/>
    <w:rsid w:val="00E45CD4"/>
    <w:rsid w:val="00E643BE"/>
    <w:rsid w:val="00E7170A"/>
    <w:rsid w:val="00E82B68"/>
    <w:rsid w:val="00E84D69"/>
    <w:rsid w:val="00E909FB"/>
    <w:rsid w:val="00EA05BA"/>
    <w:rsid w:val="00EA7333"/>
    <w:rsid w:val="00EB1692"/>
    <w:rsid w:val="00EB3716"/>
    <w:rsid w:val="00ED5960"/>
    <w:rsid w:val="00ED7578"/>
    <w:rsid w:val="00ED77A6"/>
    <w:rsid w:val="00EE02CB"/>
    <w:rsid w:val="00EE21F1"/>
    <w:rsid w:val="00EE4CA3"/>
    <w:rsid w:val="00F0336A"/>
    <w:rsid w:val="00F13C86"/>
    <w:rsid w:val="00F25810"/>
    <w:rsid w:val="00F26CF6"/>
    <w:rsid w:val="00F311B1"/>
    <w:rsid w:val="00F32D67"/>
    <w:rsid w:val="00F46608"/>
    <w:rsid w:val="00F5261A"/>
    <w:rsid w:val="00F55B48"/>
    <w:rsid w:val="00F56ECE"/>
    <w:rsid w:val="00F576BC"/>
    <w:rsid w:val="00F91C54"/>
    <w:rsid w:val="00F92E54"/>
    <w:rsid w:val="00F97689"/>
    <w:rsid w:val="00FA6485"/>
    <w:rsid w:val="00FB4238"/>
    <w:rsid w:val="00FB5528"/>
    <w:rsid w:val="00FC5041"/>
    <w:rsid w:val="00FD280B"/>
    <w:rsid w:val="00FD3190"/>
    <w:rsid w:val="00FD7C6C"/>
    <w:rsid w:val="00FE5A4E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9C76-901E-4142-B7E1-C552069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Vienas langelis</cp:lastModifiedBy>
  <cp:revision>2</cp:revision>
  <cp:lastPrinted>2022-09-22T13:22:00Z</cp:lastPrinted>
  <dcterms:created xsi:type="dcterms:W3CDTF">2022-11-18T08:34:00Z</dcterms:created>
  <dcterms:modified xsi:type="dcterms:W3CDTF">2022-11-18T08:34:00Z</dcterms:modified>
</cp:coreProperties>
</file>