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7411B" w14:textId="5FADE3E3" w:rsidR="0028523A" w:rsidRPr="000016ED" w:rsidRDefault="00B97390" w:rsidP="00D64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 wp14:anchorId="61A74134" wp14:editId="61A74135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7411C" w14:textId="77777777" w:rsidR="0028523A" w:rsidRPr="000016ED" w:rsidRDefault="0028523A" w:rsidP="00825703">
      <w:pPr>
        <w:pStyle w:val="Antrats"/>
        <w:rPr>
          <w:rFonts w:ascii="Times New Roman" w:hAnsi="Times New Roman" w:cs="Times New Roman"/>
          <w:b/>
          <w:sz w:val="24"/>
          <w:szCs w:val="24"/>
        </w:rPr>
      </w:pPr>
    </w:p>
    <w:p w14:paraId="61A7411E" w14:textId="2AC5BACE" w:rsidR="0028523A" w:rsidRPr="000016ED" w:rsidRDefault="0028523A" w:rsidP="00B12C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6ED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ROKI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</w:rPr>
        <w:t>Š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  <w:lang w:val="en-AU"/>
        </w:rPr>
        <w:t>KIO RAJONO SAVIVALDYB</w:t>
      </w:r>
      <w:r w:rsidRPr="000016ED">
        <w:rPr>
          <w:rFonts w:ascii="Times New Roman" w:eastAsia="Times New Roman" w:hAnsi="Times New Roman" w:cs="Times New Roman"/>
          <w:b/>
          <w:sz w:val="24"/>
          <w:szCs w:val="24"/>
        </w:rPr>
        <w:t>ĖS ADMINISTRACIJOS DIREKTORIUS</w:t>
      </w:r>
    </w:p>
    <w:p w14:paraId="61A7411F" w14:textId="77777777" w:rsidR="0028523A" w:rsidRPr="000016ED" w:rsidRDefault="0028523A" w:rsidP="008257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74120" w14:textId="0AE250F4" w:rsidR="0028523A" w:rsidRPr="006812DD" w:rsidRDefault="006812DD" w:rsidP="00681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2DD">
        <w:rPr>
          <w:rFonts w:ascii="Times New Roman" w:hAnsi="Times New Roman" w:cs="Times New Roman"/>
          <w:b/>
          <w:sz w:val="24"/>
          <w:szCs w:val="24"/>
        </w:rPr>
        <w:t>Į</w:t>
      </w:r>
      <w:r w:rsidR="003D5155" w:rsidRPr="006812DD">
        <w:rPr>
          <w:rFonts w:ascii="Times New Roman" w:hAnsi="Times New Roman" w:cs="Times New Roman"/>
          <w:b/>
          <w:sz w:val="24"/>
          <w:szCs w:val="24"/>
        </w:rPr>
        <w:t>SAKYMAS</w:t>
      </w:r>
    </w:p>
    <w:p w14:paraId="3707E1DF" w14:textId="4B26D693" w:rsidR="00932072" w:rsidRPr="000016ED" w:rsidRDefault="00932072" w:rsidP="006812D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6ED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53353B">
        <w:rPr>
          <w:rFonts w:ascii="Times New Roman" w:hAnsi="Times New Roman" w:cs="Times New Roman"/>
          <w:b/>
          <w:sz w:val="24"/>
          <w:szCs w:val="24"/>
        </w:rPr>
        <w:t xml:space="preserve">ROKIŠKIO RAJONO </w:t>
      </w:r>
      <w:r w:rsidR="009457D6" w:rsidRPr="000016ED">
        <w:rPr>
          <w:rFonts w:ascii="Times New Roman" w:hAnsi="Times New Roman" w:cs="Times New Roman"/>
          <w:b/>
          <w:sz w:val="24"/>
          <w:szCs w:val="24"/>
        </w:rPr>
        <w:t>SAVIVALDYBĖS</w:t>
      </w:r>
      <w:r w:rsidRPr="000016ED">
        <w:rPr>
          <w:rFonts w:ascii="Times New Roman" w:hAnsi="Times New Roman" w:cs="Times New Roman"/>
          <w:b/>
          <w:sz w:val="24"/>
          <w:szCs w:val="24"/>
        </w:rPr>
        <w:t xml:space="preserve"> TURTO 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 xml:space="preserve">PRIPAŽINIMO </w:t>
      </w:r>
      <w:r w:rsidR="004C5581">
        <w:rPr>
          <w:rFonts w:ascii="Times New Roman" w:hAnsi="Times New Roman" w:cs="Times New Roman"/>
          <w:b/>
          <w:sz w:val="24"/>
          <w:szCs w:val="24"/>
        </w:rPr>
        <w:t xml:space="preserve">NEREIKALINGU IR 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>NETINKAMU (NEGALIM</w:t>
      </w:r>
      <w:r w:rsidR="002406C2" w:rsidRPr="000016ED">
        <w:rPr>
          <w:rFonts w:ascii="Times New Roman" w:hAnsi="Times New Roman" w:cs="Times New Roman"/>
          <w:b/>
          <w:sz w:val="24"/>
          <w:szCs w:val="24"/>
        </w:rPr>
        <w:t>U</w:t>
      </w:r>
      <w:r w:rsidR="00AC2556" w:rsidRPr="000016ED">
        <w:rPr>
          <w:rFonts w:ascii="Times New Roman" w:hAnsi="Times New Roman" w:cs="Times New Roman"/>
          <w:b/>
          <w:sz w:val="24"/>
          <w:szCs w:val="24"/>
        </w:rPr>
        <w:t xml:space="preserve">) NAUDOTIS </w:t>
      </w:r>
    </w:p>
    <w:p w14:paraId="3A9265B6" w14:textId="77777777" w:rsidR="00932072" w:rsidRPr="000016ED" w:rsidRDefault="00932072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61A74123" w14:textId="222E4D65" w:rsidR="004011AD" w:rsidRPr="000016ED" w:rsidRDefault="00394962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sz w:val="24"/>
          <w:szCs w:val="24"/>
        </w:rPr>
        <w:t>202</w:t>
      </w:r>
      <w:r w:rsidR="00147971">
        <w:rPr>
          <w:rFonts w:ascii="Times New Roman" w:hAnsi="Times New Roman" w:cs="Times New Roman"/>
          <w:sz w:val="24"/>
          <w:szCs w:val="24"/>
        </w:rPr>
        <w:t>4</w:t>
      </w:r>
      <w:r w:rsidR="009C08C1" w:rsidRPr="000016ED">
        <w:rPr>
          <w:rFonts w:ascii="Times New Roman" w:hAnsi="Times New Roman" w:cs="Times New Roman"/>
          <w:sz w:val="24"/>
          <w:szCs w:val="24"/>
        </w:rPr>
        <w:t xml:space="preserve"> m. </w:t>
      </w:r>
      <w:r w:rsidR="00ED3735">
        <w:rPr>
          <w:rFonts w:ascii="Times New Roman" w:hAnsi="Times New Roman" w:cs="Times New Roman"/>
          <w:sz w:val="24"/>
          <w:szCs w:val="24"/>
        </w:rPr>
        <w:t>vasario</w:t>
      </w:r>
      <w:r w:rsidR="008A3608">
        <w:rPr>
          <w:rFonts w:ascii="Times New Roman" w:hAnsi="Times New Roman" w:cs="Times New Roman"/>
          <w:sz w:val="24"/>
          <w:szCs w:val="24"/>
        </w:rPr>
        <w:t xml:space="preserve"> </w:t>
      </w:r>
      <w:r w:rsidR="00CB6BF2">
        <w:rPr>
          <w:rFonts w:ascii="Times New Roman" w:hAnsi="Times New Roman" w:cs="Times New Roman"/>
          <w:sz w:val="24"/>
          <w:szCs w:val="24"/>
        </w:rPr>
        <w:t>2</w:t>
      </w:r>
      <w:r w:rsidR="0050044D">
        <w:rPr>
          <w:rFonts w:ascii="Times New Roman" w:hAnsi="Times New Roman" w:cs="Times New Roman"/>
          <w:sz w:val="24"/>
          <w:szCs w:val="24"/>
        </w:rPr>
        <w:t>1</w:t>
      </w:r>
      <w:r w:rsidR="00AD5B41">
        <w:rPr>
          <w:rFonts w:ascii="Times New Roman" w:hAnsi="Times New Roman" w:cs="Times New Roman"/>
          <w:sz w:val="24"/>
          <w:szCs w:val="24"/>
        </w:rPr>
        <w:t xml:space="preserve"> </w:t>
      </w:r>
      <w:r w:rsidR="004011AD" w:rsidRPr="000016ED">
        <w:rPr>
          <w:rFonts w:ascii="Times New Roman" w:hAnsi="Times New Roman" w:cs="Times New Roman"/>
          <w:sz w:val="24"/>
          <w:szCs w:val="24"/>
        </w:rPr>
        <w:t xml:space="preserve">d. Nr. </w:t>
      </w:r>
      <w:r w:rsidR="0050044D">
        <w:rPr>
          <w:rFonts w:ascii="Times New Roman" w:hAnsi="Times New Roman" w:cs="Times New Roman"/>
          <w:sz w:val="24"/>
          <w:szCs w:val="24"/>
        </w:rPr>
        <w:t>ATF-14</w:t>
      </w:r>
    </w:p>
    <w:p w14:paraId="61A74124" w14:textId="77777777" w:rsidR="004011AD" w:rsidRPr="000016ED" w:rsidRDefault="004011AD" w:rsidP="00825703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0016ED">
        <w:rPr>
          <w:rFonts w:ascii="Times New Roman" w:hAnsi="Times New Roman" w:cs="Times New Roman"/>
          <w:sz w:val="24"/>
          <w:szCs w:val="24"/>
        </w:rPr>
        <w:t>Rokiškis</w:t>
      </w:r>
    </w:p>
    <w:p w14:paraId="66F7EE11" w14:textId="77777777" w:rsidR="00A44A9D" w:rsidRDefault="00A44A9D" w:rsidP="007F59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92B0D" w14:textId="77777777" w:rsidR="0050044D" w:rsidRPr="000630F3" w:rsidRDefault="0050044D" w:rsidP="007F590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B8099" w14:textId="77777777" w:rsidR="0050044D" w:rsidRDefault="001B347C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 w:rsidRPr="006E3ADB">
        <w:t xml:space="preserve">Vadovaudamasis Lietuvos Respublikos vietos savivaldos įstatymo </w:t>
      </w:r>
      <w:r w:rsidR="002058A7" w:rsidRPr="00AB789A">
        <w:rPr>
          <w:color w:val="auto"/>
        </w:rPr>
        <w:t xml:space="preserve">33 straipsnio 3 dalies 3 </w:t>
      </w:r>
      <w:r w:rsidRPr="006E3ADB">
        <w:t>punkt</w:t>
      </w:r>
      <w:r w:rsidR="002058A7">
        <w:t>u</w:t>
      </w:r>
      <w:r w:rsidRPr="006E3ADB">
        <w:t>, Lietuvos Respublikos valstybės ir savivaldybių turto valdymo, naudojimo ir disponavimo juo įstatymo 26 straipsnio 1 dalies 1</w:t>
      </w:r>
      <w:r w:rsidR="006E3ADB" w:rsidRPr="006E3ADB">
        <w:t>,</w:t>
      </w:r>
      <w:r w:rsidRPr="006E3ADB">
        <w:t xml:space="preserve"> 2</w:t>
      </w:r>
      <w:r w:rsidR="006E3ADB" w:rsidRPr="006E3ADB">
        <w:t xml:space="preserve"> ir 8</w:t>
      </w:r>
      <w:r w:rsidRPr="006E3ADB">
        <w:t xml:space="preserve"> punktais, </w:t>
      </w:r>
      <w:r w:rsidR="00EF4068" w:rsidRPr="006E3ADB">
        <w:t>Rokiškio rajono savivaldybei nuosavybės teise</w:t>
      </w:r>
      <w:r w:rsidR="00EF4068" w:rsidRPr="004C5581">
        <w:t xml:space="preserve"> priklausančio turto pripažinimo nereikalingu arba netinkamu (negalimu) naudoti ir jo nurašymo, išardymo ir likvidavimo tvarkos </w:t>
      </w:r>
      <w:r w:rsidR="004C5581">
        <w:t>aprašo, patvirtinto Rokiškio rajono savivaldybės tarybos 202</w:t>
      </w:r>
      <w:r w:rsidR="002058A7">
        <w:t>3 m. gegužės</w:t>
      </w:r>
      <w:r w:rsidR="004C5581">
        <w:t xml:space="preserve"> 2</w:t>
      </w:r>
      <w:r w:rsidR="002058A7">
        <w:t>5</w:t>
      </w:r>
      <w:r w:rsidR="004C5581">
        <w:t xml:space="preserve"> d. sprendimu Nr. TS-</w:t>
      </w:r>
      <w:r w:rsidR="002058A7">
        <w:t>157</w:t>
      </w:r>
      <w:r w:rsidR="004C5581">
        <w:t xml:space="preserve"> „Dėl Rokiškio rajono savivaldybei nuosavybės teise priklausančio turto pripažinimo nereikalingu arba netinkamu </w:t>
      </w:r>
      <w:r w:rsidR="004C5581">
        <w:rPr>
          <w:color w:val="auto"/>
        </w:rPr>
        <w:t>(negalimu) naudoti ir jo nurašymo, išardymo ir likvidavimo tvarkos aprašo patvirtinimo“ 10.</w:t>
      </w:r>
      <w:r w:rsidR="002058A7">
        <w:rPr>
          <w:color w:val="auto"/>
        </w:rPr>
        <w:t>2</w:t>
      </w:r>
      <w:r w:rsidR="00896AF2">
        <w:rPr>
          <w:color w:val="auto"/>
        </w:rPr>
        <w:t xml:space="preserve"> ir 11.</w:t>
      </w:r>
      <w:r w:rsidR="00675B3A">
        <w:rPr>
          <w:color w:val="auto"/>
        </w:rPr>
        <w:t>3</w:t>
      </w:r>
      <w:r w:rsidR="004C5581">
        <w:rPr>
          <w:color w:val="auto"/>
        </w:rPr>
        <w:t xml:space="preserve"> </w:t>
      </w:r>
      <w:r w:rsidR="004C5581" w:rsidRPr="004C5581">
        <w:rPr>
          <w:color w:val="auto"/>
        </w:rPr>
        <w:t>papunkči</w:t>
      </w:r>
      <w:r w:rsidR="00896AF2">
        <w:rPr>
          <w:color w:val="auto"/>
        </w:rPr>
        <w:t>ais</w:t>
      </w:r>
      <w:r w:rsidR="004A089D" w:rsidRPr="004C5581">
        <w:t>,</w:t>
      </w:r>
      <w:r w:rsidR="00EF4068" w:rsidRPr="004C5581">
        <w:t xml:space="preserve"> </w:t>
      </w:r>
      <w:r w:rsidRPr="004C5581">
        <w:rPr>
          <w:color w:val="auto"/>
        </w:rPr>
        <w:t xml:space="preserve">atsižvelgdamas </w:t>
      </w:r>
      <w:r w:rsidR="00F81B44" w:rsidRPr="004C5581">
        <w:t xml:space="preserve">į </w:t>
      </w:r>
      <w:r w:rsidRPr="004C5581">
        <w:rPr>
          <w:color w:val="auto"/>
        </w:rPr>
        <w:t>Rokiškio rajono savivaldybės administracijos</w:t>
      </w:r>
      <w:r w:rsidR="00147971">
        <w:rPr>
          <w:color w:val="auto"/>
        </w:rPr>
        <w:t xml:space="preserve"> </w:t>
      </w:r>
      <w:r w:rsidR="00ED3735">
        <w:rPr>
          <w:color w:val="auto"/>
        </w:rPr>
        <w:t>Rokiškio kaimiškosios</w:t>
      </w:r>
      <w:r w:rsidR="00147971">
        <w:rPr>
          <w:color w:val="auto"/>
        </w:rPr>
        <w:t xml:space="preserve"> seniūnijos</w:t>
      </w:r>
      <w:r w:rsidRPr="004C5581">
        <w:rPr>
          <w:color w:val="auto"/>
        </w:rPr>
        <w:t xml:space="preserve"> </w:t>
      </w:r>
      <w:r w:rsidRPr="00052363">
        <w:rPr>
          <w:color w:val="auto"/>
        </w:rPr>
        <w:t>Nereikaling</w:t>
      </w:r>
      <w:r w:rsidR="00147971">
        <w:rPr>
          <w:color w:val="auto"/>
        </w:rPr>
        <w:t>o</w:t>
      </w:r>
      <w:r w:rsidRPr="00052363">
        <w:rPr>
          <w:color w:val="auto"/>
        </w:rPr>
        <w:t xml:space="preserve"> arba netinkam</w:t>
      </w:r>
      <w:r w:rsidR="00147971">
        <w:rPr>
          <w:color w:val="auto"/>
        </w:rPr>
        <w:t>o</w:t>
      </w:r>
      <w:r w:rsidRPr="00052363">
        <w:rPr>
          <w:color w:val="auto"/>
        </w:rPr>
        <w:t xml:space="preserve"> (negalim</w:t>
      </w:r>
      <w:r w:rsidR="00147971">
        <w:rPr>
          <w:color w:val="auto"/>
        </w:rPr>
        <w:t>o</w:t>
      </w:r>
      <w:r w:rsidRPr="00052363">
        <w:rPr>
          <w:color w:val="auto"/>
        </w:rPr>
        <w:t>) naudoti ne</w:t>
      </w:r>
      <w:r w:rsidR="00473BED">
        <w:rPr>
          <w:color w:val="auto"/>
        </w:rPr>
        <w:t>materialiojo</w:t>
      </w:r>
      <w:r w:rsidRPr="00052363">
        <w:rPr>
          <w:color w:val="auto"/>
        </w:rPr>
        <w:t xml:space="preserve"> </w:t>
      </w:r>
      <w:r w:rsidR="00473BED">
        <w:rPr>
          <w:color w:val="auto"/>
        </w:rPr>
        <w:t xml:space="preserve">ir ilgalaikio materialiojo </w:t>
      </w:r>
      <w:r w:rsidRPr="00052363">
        <w:rPr>
          <w:color w:val="auto"/>
        </w:rPr>
        <w:t xml:space="preserve">turto </w:t>
      </w:r>
      <w:r w:rsidRPr="006F18D0">
        <w:rPr>
          <w:color w:val="auto"/>
        </w:rPr>
        <w:t>apžiūros 202</w:t>
      </w:r>
      <w:r w:rsidR="00147971">
        <w:rPr>
          <w:color w:val="auto"/>
        </w:rPr>
        <w:t>4</w:t>
      </w:r>
      <w:r w:rsidRPr="006F18D0">
        <w:rPr>
          <w:color w:val="auto"/>
        </w:rPr>
        <w:t xml:space="preserve"> m. </w:t>
      </w:r>
      <w:r w:rsidR="00ED3735">
        <w:rPr>
          <w:color w:val="auto"/>
        </w:rPr>
        <w:t>vasario</w:t>
      </w:r>
      <w:r w:rsidR="00147971">
        <w:rPr>
          <w:color w:val="auto"/>
        </w:rPr>
        <w:t xml:space="preserve"> </w:t>
      </w:r>
      <w:r w:rsidR="00ED3735">
        <w:rPr>
          <w:color w:val="auto"/>
        </w:rPr>
        <w:t>1</w:t>
      </w:r>
      <w:r w:rsidR="00E871D8" w:rsidRPr="006F18D0">
        <w:rPr>
          <w:color w:val="auto"/>
        </w:rPr>
        <w:t xml:space="preserve"> d. pažymą Nr. </w:t>
      </w:r>
      <w:r w:rsidR="00ED3735">
        <w:rPr>
          <w:color w:val="auto"/>
        </w:rPr>
        <w:t>S9-18 (36.1.2-9)</w:t>
      </w:r>
      <w:r w:rsidR="004C5581" w:rsidRPr="006F18D0">
        <w:rPr>
          <w:color w:val="auto"/>
        </w:rPr>
        <w:t>:</w:t>
      </w:r>
    </w:p>
    <w:p w14:paraId="6B1DF48F" w14:textId="77777777" w:rsidR="0050044D" w:rsidRDefault="00066F65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  <w:spacing w:val="60"/>
        </w:rPr>
        <w:t>1</w:t>
      </w:r>
      <w:r w:rsidR="008D0C27">
        <w:rPr>
          <w:color w:val="auto"/>
          <w:spacing w:val="60"/>
        </w:rPr>
        <w:t>.</w:t>
      </w:r>
      <w:r w:rsidR="00240844" w:rsidRPr="008A3608">
        <w:rPr>
          <w:color w:val="auto"/>
          <w:spacing w:val="60"/>
        </w:rPr>
        <w:t xml:space="preserve">Pripažįstu </w:t>
      </w:r>
      <w:r w:rsidR="00240844" w:rsidRPr="008A3608">
        <w:rPr>
          <w:color w:val="auto"/>
        </w:rPr>
        <w:t>nereikalingu ir netinkamu (negalimu) naudoti dėl fizinio ir funkcinio nusidėvėjimo, toliau eksploatuoti netinkamą Rokiškio rajono savivaldybės administracijos</w:t>
      </w:r>
      <w:r w:rsidR="008D0C27">
        <w:rPr>
          <w:color w:val="auto"/>
        </w:rPr>
        <w:t xml:space="preserve"> Rokiškio kaimiškosios seniūnijos</w:t>
      </w:r>
      <w:r w:rsidR="00213805">
        <w:rPr>
          <w:color w:val="auto"/>
        </w:rPr>
        <w:t xml:space="preserve"> šį </w:t>
      </w:r>
      <w:r w:rsidR="00240844" w:rsidRPr="008A3608">
        <w:rPr>
          <w:color w:val="auto"/>
        </w:rPr>
        <w:t xml:space="preserve"> ilgalaikį turtą</w:t>
      </w:r>
      <w:r w:rsidR="00213805">
        <w:rPr>
          <w:color w:val="auto"/>
        </w:rPr>
        <w:t>:</w:t>
      </w:r>
    </w:p>
    <w:p w14:paraId="7C18608B" w14:textId="2B5AA29B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>1.1</w:t>
      </w:r>
      <w:r w:rsidR="000C06E7">
        <w:rPr>
          <w:color w:val="auto"/>
        </w:rPr>
        <w:t xml:space="preserve"> </w:t>
      </w:r>
      <w:r w:rsidR="00240844">
        <w:rPr>
          <w:color w:val="auto"/>
        </w:rPr>
        <w:t>Kompiuterį-monitorių</w:t>
      </w:r>
      <w:r w:rsidR="00992C1A">
        <w:rPr>
          <w:color w:val="auto"/>
        </w:rPr>
        <w:t>,</w:t>
      </w:r>
      <w:r>
        <w:rPr>
          <w:color w:val="auto"/>
        </w:rPr>
        <w:t xml:space="preserve"> kurio </w:t>
      </w:r>
      <w:r w:rsidR="00240844">
        <w:rPr>
          <w:color w:val="auto"/>
        </w:rPr>
        <w:t xml:space="preserve">įsigijimo balansinė vertė </w:t>
      </w:r>
      <w:r w:rsidR="00992C1A">
        <w:rPr>
          <w:color w:val="auto"/>
        </w:rPr>
        <w:t xml:space="preserve">2023 m. gruodžio 31 d. - </w:t>
      </w:r>
      <w:r w:rsidR="00240844">
        <w:rPr>
          <w:color w:val="auto"/>
        </w:rPr>
        <w:t>613,99 Eur, turto likutinė vertė 2023 m. gruodžio 31 d. – 0,00 Eur, finansavimo šaltinis – savivaldybės biudžeto lėšos.</w:t>
      </w:r>
    </w:p>
    <w:p w14:paraId="2A371A67" w14:textId="5B175152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>1.2</w:t>
      </w:r>
      <w:r w:rsidR="0050044D">
        <w:rPr>
          <w:color w:val="auto"/>
        </w:rPr>
        <w:t xml:space="preserve"> </w:t>
      </w:r>
      <w:r w:rsidR="00240844">
        <w:rPr>
          <w:color w:val="auto"/>
        </w:rPr>
        <w:t>Sniego valymo įrenginį</w:t>
      </w:r>
      <w:r w:rsidR="00AD16E9">
        <w:rPr>
          <w:color w:val="auto"/>
        </w:rPr>
        <w:t xml:space="preserve">, </w:t>
      </w:r>
      <w:r w:rsidR="00240844">
        <w:rPr>
          <w:color w:val="auto"/>
        </w:rPr>
        <w:t xml:space="preserve"> </w:t>
      </w:r>
      <w:r>
        <w:rPr>
          <w:color w:val="auto"/>
        </w:rPr>
        <w:t xml:space="preserve">kurio </w:t>
      </w:r>
      <w:r w:rsidR="00240844">
        <w:rPr>
          <w:color w:val="auto"/>
        </w:rPr>
        <w:t xml:space="preserve">įsigijimo balansinė vertė </w:t>
      </w:r>
      <w:r w:rsidR="00AD16E9">
        <w:rPr>
          <w:color w:val="auto"/>
        </w:rPr>
        <w:t>20</w:t>
      </w:r>
      <w:r>
        <w:rPr>
          <w:color w:val="auto"/>
        </w:rPr>
        <w:t xml:space="preserve">23 m. gruodžio 31 d. - </w:t>
      </w:r>
      <w:r w:rsidR="00240844">
        <w:rPr>
          <w:color w:val="auto"/>
        </w:rPr>
        <w:t>753,01 Eur, turto likutinė vertė 2023 m. gruodžio 31 d. – 0,00 Eur, finansavimo šaltinis – savivaldybės biudžeto lėšos.</w:t>
      </w:r>
    </w:p>
    <w:p w14:paraId="682F363F" w14:textId="2897A8E8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auto"/>
        </w:rPr>
        <w:t>1.3</w:t>
      </w:r>
      <w:r w:rsidR="000C06E7">
        <w:rPr>
          <w:color w:val="auto"/>
        </w:rPr>
        <w:t xml:space="preserve"> </w:t>
      </w:r>
      <w:r w:rsidR="00240844">
        <w:rPr>
          <w:color w:val="auto"/>
        </w:rPr>
        <w:t>Lygintuvą</w:t>
      </w:r>
      <w:r>
        <w:rPr>
          <w:color w:val="auto"/>
        </w:rPr>
        <w:t xml:space="preserve">, kurio </w:t>
      </w:r>
      <w:r w:rsidR="00240844">
        <w:rPr>
          <w:color w:val="auto"/>
        </w:rPr>
        <w:t xml:space="preserve">įsigijimo balansinė vertė </w:t>
      </w:r>
      <w:r>
        <w:rPr>
          <w:color w:val="auto"/>
        </w:rPr>
        <w:t xml:space="preserve">2023 m. gruodžio 31 d. - </w:t>
      </w:r>
      <w:r w:rsidR="00240844">
        <w:rPr>
          <w:color w:val="auto"/>
        </w:rPr>
        <w:t>555,4</w:t>
      </w:r>
      <w:r w:rsidR="000C06E7">
        <w:rPr>
          <w:color w:val="auto"/>
        </w:rPr>
        <w:t>9 Eur, turto likutinė vertė 2023 m. gruodžio 31 d. – 0,00 Eur, finansavimo šaltinis – savivaldybės biudžeto lėšos.</w:t>
      </w:r>
    </w:p>
    <w:p w14:paraId="72DD4EEF" w14:textId="5D379842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spacing w:val="60"/>
        </w:rPr>
        <w:t>2.</w:t>
      </w:r>
      <w:r w:rsidR="00553B85" w:rsidRPr="008A3608">
        <w:rPr>
          <w:spacing w:val="60"/>
        </w:rPr>
        <w:t>Nurodau</w:t>
      </w:r>
      <w:r w:rsidR="00E871D8" w:rsidRPr="008A3608">
        <w:t xml:space="preserve"> </w:t>
      </w:r>
      <w:r w:rsidR="000630F3" w:rsidRPr="008A3608">
        <w:rPr>
          <w:color w:val="000000" w:themeColor="text1"/>
        </w:rPr>
        <w:t>Rokiškio rajono savivaldybės</w:t>
      </w:r>
      <w:r w:rsidR="00553B85" w:rsidRPr="008A3608">
        <w:rPr>
          <w:color w:val="000000" w:themeColor="text1"/>
        </w:rPr>
        <w:t xml:space="preserve"> administracijos </w:t>
      </w:r>
      <w:r w:rsidR="00ED3735">
        <w:rPr>
          <w:color w:val="000000" w:themeColor="text1"/>
        </w:rPr>
        <w:t>Rokiškio kaimiškajai</w:t>
      </w:r>
      <w:r w:rsidR="00553B85" w:rsidRPr="008A3608">
        <w:rPr>
          <w:color w:val="000000" w:themeColor="text1"/>
        </w:rPr>
        <w:t xml:space="preserve"> seniūnijai </w:t>
      </w:r>
      <w:r w:rsidR="00EB217B" w:rsidRPr="008A3608">
        <w:rPr>
          <w:color w:val="FF0000"/>
        </w:rPr>
        <w:t xml:space="preserve"> </w:t>
      </w:r>
      <w:r w:rsidR="008059F1" w:rsidRPr="008A3608">
        <w:rPr>
          <w:color w:val="000000" w:themeColor="text1"/>
        </w:rPr>
        <w:t xml:space="preserve">likviduoti  šio įsakymo </w:t>
      </w:r>
      <w:r w:rsidR="007F5905">
        <w:rPr>
          <w:color w:val="000000" w:themeColor="text1"/>
        </w:rPr>
        <w:t>2.1</w:t>
      </w:r>
      <w:r>
        <w:rPr>
          <w:color w:val="000000" w:themeColor="text1"/>
        </w:rPr>
        <w:t xml:space="preserve">, </w:t>
      </w:r>
      <w:r w:rsidR="007F5905">
        <w:rPr>
          <w:color w:val="000000" w:themeColor="text1"/>
        </w:rPr>
        <w:t>2.2</w:t>
      </w:r>
      <w:r>
        <w:rPr>
          <w:color w:val="000000" w:themeColor="text1"/>
        </w:rPr>
        <w:t xml:space="preserve">, </w:t>
      </w:r>
      <w:r w:rsidR="007F5905">
        <w:rPr>
          <w:color w:val="000000" w:themeColor="text1"/>
        </w:rPr>
        <w:t>2.3</w:t>
      </w:r>
      <w:r>
        <w:rPr>
          <w:color w:val="000000" w:themeColor="text1"/>
        </w:rPr>
        <w:t xml:space="preserve"> </w:t>
      </w:r>
      <w:r w:rsidR="007F5905">
        <w:rPr>
          <w:color w:val="000000" w:themeColor="text1"/>
        </w:rPr>
        <w:t xml:space="preserve"> papunkčiuose išvardintą</w:t>
      </w:r>
      <w:r w:rsidR="00727AB0">
        <w:t xml:space="preserve"> </w:t>
      </w:r>
      <w:r w:rsidR="007F5905">
        <w:t>ilgalaikį turtą.</w:t>
      </w:r>
      <w:r w:rsidR="000630F3" w:rsidRPr="008A3608">
        <w:t xml:space="preserve"> </w:t>
      </w:r>
    </w:p>
    <w:p w14:paraId="7B9DFE96" w14:textId="77777777" w:rsidR="0050044D" w:rsidRDefault="00BF521E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>
        <w:rPr>
          <w:color w:val="000000" w:themeColor="text1"/>
        </w:rPr>
        <w:t>3.</w:t>
      </w:r>
      <w:r w:rsidR="0050044D">
        <w:rPr>
          <w:color w:val="000000" w:themeColor="text1"/>
        </w:rPr>
        <w:t xml:space="preserve"> </w:t>
      </w:r>
      <w:r w:rsidR="00203BB7" w:rsidRPr="007F5905">
        <w:rPr>
          <w:color w:val="000000" w:themeColor="text1"/>
        </w:rPr>
        <w:t>N u r o d a u</w:t>
      </w:r>
      <w:r w:rsidR="007F5905">
        <w:rPr>
          <w:color w:val="000000" w:themeColor="text1"/>
        </w:rPr>
        <w:t xml:space="preserve"> Centralizuotos buhalterinės apskaitos skyriui nurašyti šiame įsakyme nurodytą ilgalaikį turtą</w:t>
      </w:r>
      <w:r>
        <w:rPr>
          <w:color w:val="000000" w:themeColor="text1"/>
        </w:rPr>
        <w:t xml:space="preserve">. </w:t>
      </w:r>
    </w:p>
    <w:p w14:paraId="572BFB61" w14:textId="7E0E09E1" w:rsidR="004C5581" w:rsidRPr="0050044D" w:rsidRDefault="00757913" w:rsidP="0050044D">
      <w:pPr>
        <w:pStyle w:val="Default"/>
        <w:tabs>
          <w:tab w:val="left" w:pos="851"/>
          <w:tab w:val="left" w:pos="1134"/>
        </w:tabs>
        <w:ind w:firstLine="851"/>
        <w:jc w:val="both"/>
        <w:rPr>
          <w:color w:val="auto"/>
        </w:rPr>
      </w:pPr>
      <w:r w:rsidRPr="007F5905">
        <w:t>Šis įsakymas per vieną mėnesį gali būti skundžiamas Lietuvos administracinių ginčų komisijos Panevėžio apygardos skyriui (Respublikos g. 62, Panevėžys) Lietuvos Respublikos ikiteisminio administracinių ginčų nagrinėjimo tvarkos įstatymo nustatyta tvarka</w:t>
      </w:r>
    </w:p>
    <w:p w14:paraId="36ED9F10" w14:textId="77777777" w:rsidR="00F5248C" w:rsidRDefault="00F5248C" w:rsidP="00BF521E">
      <w:pPr>
        <w:tabs>
          <w:tab w:val="left" w:pos="6360"/>
        </w:tabs>
        <w:spacing w:after="0"/>
      </w:pPr>
    </w:p>
    <w:p w14:paraId="5842364B" w14:textId="77777777" w:rsidR="00CC2106" w:rsidRDefault="00CC2106" w:rsidP="00BF521E">
      <w:pPr>
        <w:tabs>
          <w:tab w:val="left" w:pos="6360"/>
        </w:tabs>
        <w:spacing w:after="0"/>
      </w:pPr>
    </w:p>
    <w:p w14:paraId="7564CA53" w14:textId="10D65A2A" w:rsidR="00EB217B" w:rsidRPr="00F5248C" w:rsidRDefault="00B12CC0" w:rsidP="00BF52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Administracijos direktorius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Valerijus Rancevas </w:t>
      </w:r>
    </w:p>
    <w:p w14:paraId="0320571F" w14:textId="77777777" w:rsidR="00EB217B" w:rsidRPr="000016ED" w:rsidRDefault="00EB217B" w:rsidP="00BF521E">
      <w:pPr>
        <w:pStyle w:val="Default"/>
        <w:tabs>
          <w:tab w:val="left" w:pos="851"/>
        </w:tabs>
        <w:rPr>
          <w:rFonts w:eastAsia="Times New Roman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4806"/>
      </w:tblGrid>
      <w:tr w:rsidR="00EB217B" w:rsidRPr="000016ED" w14:paraId="314AC43F" w14:textId="77777777" w:rsidTr="009917B5">
        <w:tc>
          <w:tcPr>
            <w:tcW w:w="4927" w:type="dxa"/>
          </w:tcPr>
          <w:p w14:paraId="31D3A560" w14:textId="77777777" w:rsidR="0050044D" w:rsidRDefault="0050044D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  <w:p w14:paraId="6102E5D0" w14:textId="34656B57" w:rsidR="00EB217B" w:rsidRPr="000016ED" w:rsidRDefault="00817D21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Vilmantas Raupys</w:t>
            </w:r>
          </w:p>
        </w:tc>
        <w:tc>
          <w:tcPr>
            <w:tcW w:w="4927" w:type="dxa"/>
          </w:tcPr>
          <w:p w14:paraId="4737587E" w14:textId="77777777" w:rsidR="00EB217B" w:rsidRDefault="00EB217B" w:rsidP="00BF521E">
            <w:pPr>
              <w:pStyle w:val="Pagrindinistekstas"/>
              <w:tabs>
                <w:tab w:val="left" w:pos="709"/>
              </w:tabs>
              <w:spacing w:line="240" w:lineRule="auto"/>
              <w:jc w:val="left"/>
              <w:rPr>
                <w:szCs w:val="24"/>
              </w:rPr>
            </w:pPr>
          </w:p>
        </w:tc>
      </w:tr>
    </w:tbl>
    <w:p w14:paraId="7FB85AAB" w14:textId="77777777" w:rsidR="00E53060" w:rsidRDefault="00E53060" w:rsidP="00F051B0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53060" w:rsidSect="003A0F49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D59E0" w14:textId="77777777" w:rsidR="003A0F49" w:rsidRDefault="003A0F49" w:rsidP="001B3E94">
      <w:pPr>
        <w:spacing w:after="0" w:line="240" w:lineRule="auto"/>
      </w:pPr>
      <w:r>
        <w:separator/>
      </w:r>
    </w:p>
  </w:endnote>
  <w:endnote w:type="continuationSeparator" w:id="0">
    <w:p w14:paraId="76DD47F9" w14:textId="77777777" w:rsidR="003A0F49" w:rsidRDefault="003A0F49" w:rsidP="001B3E94">
      <w:pPr>
        <w:spacing w:after="0" w:line="240" w:lineRule="auto"/>
      </w:pPr>
      <w:r>
        <w:continuationSeparator/>
      </w:r>
    </w:p>
  </w:endnote>
  <w:endnote w:type="continuationNotice" w:id="1">
    <w:p w14:paraId="1DC59C1C" w14:textId="77777777" w:rsidR="003A0F49" w:rsidRDefault="003A0F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D0C33" w14:textId="7775ED9C" w:rsidR="00EB217B" w:rsidRDefault="00EB217B">
    <w:pPr>
      <w:pStyle w:val="Porat"/>
    </w:pPr>
  </w:p>
  <w:p w14:paraId="10DDE81D" w14:textId="7E99130E" w:rsidR="00EF4068" w:rsidRPr="00EF4068" w:rsidRDefault="00EF4068" w:rsidP="00EF4068">
    <w:pPr>
      <w:tabs>
        <w:tab w:val="left" w:pos="851"/>
        <w:tab w:val="left" w:pos="993"/>
      </w:tabs>
      <w:spacing w:after="0" w:line="240" w:lineRule="auto"/>
      <w:jc w:val="both"/>
      <w:rPr>
        <w:rFonts w:ascii="Times New Roman" w:eastAsia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C1F14" w14:textId="77777777" w:rsidR="003A0F49" w:rsidRDefault="003A0F49" w:rsidP="001B3E94">
      <w:pPr>
        <w:spacing w:after="0" w:line="240" w:lineRule="auto"/>
      </w:pPr>
      <w:r>
        <w:separator/>
      </w:r>
    </w:p>
  </w:footnote>
  <w:footnote w:type="continuationSeparator" w:id="0">
    <w:p w14:paraId="59F07B75" w14:textId="77777777" w:rsidR="003A0F49" w:rsidRDefault="003A0F49" w:rsidP="001B3E94">
      <w:pPr>
        <w:spacing w:after="0" w:line="240" w:lineRule="auto"/>
      </w:pPr>
      <w:r>
        <w:continuationSeparator/>
      </w:r>
    </w:p>
  </w:footnote>
  <w:footnote w:type="continuationNotice" w:id="1">
    <w:p w14:paraId="64D953F1" w14:textId="77777777" w:rsidR="003A0F49" w:rsidRDefault="003A0F4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 w15:restartNumberingAfterBreak="0">
    <w:nsid w:val="073942D2"/>
    <w:multiLevelType w:val="hybridMultilevel"/>
    <w:tmpl w:val="8EE68C08"/>
    <w:lvl w:ilvl="0" w:tplc="463CF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6D1764"/>
    <w:multiLevelType w:val="hybridMultilevel"/>
    <w:tmpl w:val="990001C8"/>
    <w:lvl w:ilvl="0" w:tplc="ED0C7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5F053F"/>
    <w:multiLevelType w:val="hybridMultilevel"/>
    <w:tmpl w:val="DC2E7C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2C30"/>
    <w:multiLevelType w:val="multilevel"/>
    <w:tmpl w:val="B1B856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auto"/>
      </w:rPr>
    </w:lvl>
  </w:abstractNum>
  <w:abstractNum w:abstractNumId="5" w15:restartNumberingAfterBreak="0">
    <w:nsid w:val="32B75E69"/>
    <w:multiLevelType w:val="hybridMultilevel"/>
    <w:tmpl w:val="45765316"/>
    <w:lvl w:ilvl="0" w:tplc="0427000F">
      <w:start w:val="1"/>
      <w:numFmt w:val="decimal"/>
      <w:lvlText w:val="%1."/>
      <w:lvlJc w:val="left"/>
      <w:pPr>
        <w:ind w:left="780" w:hanging="360"/>
      </w:pPr>
    </w:lvl>
    <w:lvl w:ilvl="1" w:tplc="04270019" w:tentative="1">
      <w:start w:val="1"/>
      <w:numFmt w:val="lowerLetter"/>
      <w:lvlText w:val="%2."/>
      <w:lvlJc w:val="left"/>
      <w:pPr>
        <w:ind w:left="1500" w:hanging="360"/>
      </w:pPr>
    </w:lvl>
    <w:lvl w:ilvl="2" w:tplc="0427001B" w:tentative="1">
      <w:start w:val="1"/>
      <w:numFmt w:val="lowerRoman"/>
      <w:lvlText w:val="%3."/>
      <w:lvlJc w:val="right"/>
      <w:pPr>
        <w:ind w:left="2220" w:hanging="180"/>
      </w:pPr>
    </w:lvl>
    <w:lvl w:ilvl="3" w:tplc="0427000F" w:tentative="1">
      <w:start w:val="1"/>
      <w:numFmt w:val="decimal"/>
      <w:lvlText w:val="%4."/>
      <w:lvlJc w:val="left"/>
      <w:pPr>
        <w:ind w:left="2940" w:hanging="360"/>
      </w:pPr>
    </w:lvl>
    <w:lvl w:ilvl="4" w:tplc="04270019" w:tentative="1">
      <w:start w:val="1"/>
      <w:numFmt w:val="lowerLetter"/>
      <w:lvlText w:val="%5."/>
      <w:lvlJc w:val="left"/>
      <w:pPr>
        <w:ind w:left="3660" w:hanging="360"/>
      </w:pPr>
    </w:lvl>
    <w:lvl w:ilvl="5" w:tplc="0427001B" w:tentative="1">
      <w:start w:val="1"/>
      <w:numFmt w:val="lowerRoman"/>
      <w:lvlText w:val="%6."/>
      <w:lvlJc w:val="right"/>
      <w:pPr>
        <w:ind w:left="4380" w:hanging="180"/>
      </w:pPr>
    </w:lvl>
    <w:lvl w:ilvl="6" w:tplc="0427000F" w:tentative="1">
      <w:start w:val="1"/>
      <w:numFmt w:val="decimal"/>
      <w:lvlText w:val="%7."/>
      <w:lvlJc w:val="left"/>
      <w:pPr>
        <w:ind w:left="5100" w:hanging="360"/>
      </w:pPr>
    </w:lvl>
    <w:lvl w:ilvl="7" w:tplc="04270019" w:tentative="1">
      <w:start w:val="1"/>
      <w:numFmt w:val="lowerLetter"/>
      <w:lvlText w:val="%8."/>
      <w:lvlJc w:val="left"/>
      <w:pPr>
        <w:ind w:left="5820" w:hanging="360"/>
      </w:pPr>
    </w:lvl>
    <w:lvl w:ilvl="8" w:tplc="042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43013AC3"/>
    <w:multiLevelType w:val="hybridMultilevel"/>
    <w:tmpl w:val="BADAE306"/>
    <w:lvl w:ilvl="0" w:tplc="0D9C70CC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>
      <w:start w:val="1"/>
      <w:numFmt w:val="lowerRoman"/>
      <w:lvlText w:val="%3."/>
      <w:lvlJc w:val="right"/>
      <w:pPr>
        <w:ind w:left="2367" w:hanging="180"/>
      </w:pPr>
    </w:lvl>
    <w:lvl w:ilvl="3" w:tplc="0427000F">
      <w:start w:val="1"/>
      <w:numFmt w:val="decimal"/>
      <w:lvlText w:val="%4."/>
      <w:lvlJc w:val="left"/>
      <w:pPr>
        <w:ind w:left="3087" w:hanging="360"/>
      </w:pPr>
    </w:lvl>
    <w:lvl w:ilvl="4" w:tplc="04270019">
      <w:start w:val="1"/>
      <w:numFmt w:val="lowerLetter"/>
      <w:lvlText w:val="%5."/>
      <w:lvlJc w:val="left"/>
      <w:pPr>
        <w:ind w:left="3807" w:hanging="360"/>
      </w:pPr>
    </w:lvl>
    <w:lvl w:ilvl="5" w:tplc="0427001B">
      <w:start w:val="1"/>
      <w:numFmt w:val="lowerRoman"/>
      <w:lvlText w:val="%6."/>
      <w:lvlJc w:val="right"/>
      <w:pPr>
        <w:ind w:left="4527" w:hanging="180"/>
      </w:pPr>
    </w:lvl>
    <w:lvl w:ilvl="6" w:tplc="0427000F">
      <w:start w:val="1"/>
      <w:numFmt w:val="decimal"/>
      <w:lvlText w:val="%7."/>
      <w:lvlJc w:val="left"/>
      <w:pPr>
        <w:ind w:left="5247" w:hanging="360"/>
      </w:pPr>
    </w:lvl>
    <w:lvl w:ilvl="7" w:tplc="04270019">
      <w:start w:val="1"/>
      <w:numFmt w:val="lowerLetter"/>
      <w:lvlText w:val="%8."/>
      <w:lvlJc w:val="left"/>
      <w:pPr>
        <w:ind w:left="5967" w:hanging="360"/>
      </w:pPr>
    </w:lvl>
    <w:lvl w:ilvl="8" w:tplc="0427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4217AA2"/>
    <w:multiLevelType w:val="hybridMultilevel"/>
    <w:tmpl w:val="D77AFB48"/>
    <w:lvl w:ilvl="0" w:tplc="0427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575F84"/>
    <w:multiLevelType w:val="multilevel"/>
    <w:tmpl w:val="4BF20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auto"/>
      </w:rPr>
    </w:lvl>
  </w:abstractNum>
  <w:abstractNum w:abstractNumId="9" w15:restartNumberingAfterBreak="0">
    <w:nsid w:val="484831AF"/>
    <w:multiLevelType w:val="multilevel"/>
    <w:tmpl w:val="6520D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 w15:restartNumberingAfterBreak="0">
    <w:nsid w:val="485F34A9"/>
    <w:multiLevelType w:val="hybridMultilevel"/>
    <w:tmpl w:val="C974FDBE"/>
    <w:lvl w:ilvl="0" w:tplc="9D544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8FD5237"/>
    <w:multiLevelType w:val="hybridMultilevel"/>
    <w:tmpl w:val="B686AD1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60129"/>
    <w:multiLevelType w:val="multilevel"/>
    <w:tmpl w:val="F46EC26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 w:themeColor="text1"/>
      </w:rPr>
    </w:lvl>
  </w:abstractNum>
  <w:abstractNum w:abstractNumId="13" w15:restartNumberingAfterBreak="0">
    <w:nsid w:val="5CD17525"/>
    <w:multiLevelType w:val="hybridMultilevel"/>
    <w:tmpl w:val="762A9AEA"/>
    <w:lvl w:ilvl="0" w:tplc="8AA8EC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09147A"/>
    <w:multiLevelType w:val="multilevel"/>
    <w:tmpl w:val="90D6D4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20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  <w:color w:val="auto"/>
      </w:rPr>
    </w:lvl>
  </w:abstractNum>
  <w:num w:numId="1" w16cid:durableId="1385720492">
    <w:abstractNumId w:val="7"/>
  </w:num>
  <w:num w:numId="2" w16cid:durableId="1542937948">
    <w:abstractNumId w:val="3"/>
  </w:num>
  <w:num w:numId="3" w16cid:durableId="1492141135">
    <w:abstractNumId w:val="5"/>
  </w:num>
  <w:num w:numId="4" w16cid:durableId="1100640039">
    <w:abstractNumId w:val="11"/>
  </w:num>
  <w:num w:numId="5" w16cid:durableId="1348798399">
    <w:abstractNumId w:val="1"/>
  </w:num>
  <w:num w:numId="6" w16cid:durableId="1454864436">
    <w:abstractNumId w:val="2"/>
  </w:num>
  <w:num w:numId="7" w16cid:durableId="715082863">
    <w:abstractNumId w:val="12"/>
  </w:num>
  <w:num w:numId="8" w16cid:durableId="1901288385">
    <w:abstractNumId w:val="9"/>
  </w:num>
  <w:num w:numId="9" w16cid:durableId="16661306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03134118">
    <w:abstractNumId w:val="10"/>
  </w:num>
  <w:num w:numId="11" w16cid:durableId="92676291">
    <w:abstractNumId w:val="13"/>
  </w:num>
  <w:num w:numId="12" w16cid:durableId="387805416">
    <w:abstractNumId w:val="0"/>
  </w:num>
  <w:num w:numId="13" w16cid:durableId="2133161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21562022">
    <w:abstractNumId w:val="8"/>
  </w:num>
  <w:num w:numId="15" w16cid:durableId="18049731">
    <w:abstractNumId w:val="4"/>
  </w:num>
  <w:num w:numId="16" w16cid:durableId="15540066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3A"/>
    <w:rsid w:val="000016ED"/>
    <w:rsid w:val="00007DB5"/>
    <w:rsid w:val="00013E33"/>
    <w:rsid w:val="00015140"/>
    <w:rsid w:val="00015AA5"/>
    <w:rsid w:val="00032384"/>
    <w:rsid w:val="00041FAE"/>
    <w:rsid w:val="00042764"/>
    <w:rsid w:val="00046628"/>
    <w:rsid w:val="000470D3"/>
    <w:rsid w:val="000516BC"/>
    <w:rsid w:val="00051A78"/>
    <w:rsid w:val="00052363"/>
    <w:rsid w:val="00062056"/>
    <w:rsid w:val="000630F3"/>
    <w:rsid w:val="00065E22"/>
    <w:rsid w:val="00066F65"/>
    <w:rsid w:val="00077A11"/>
    <w:rsid w:val="000900F5"/>
    <w:rsid w:val="00090EEC"/>
    <w:rsid w:val="000A0A44"/>
    <w:rsid w:val="000A1BF7"/>
    <w:rsid w:val="000A3C74"/>
    <w:rsid w:val="000A7289"/>
    <w:rsid w:val="000A7474"/>
    <w:rsid w:val="000B3294"/>
    <w:rsid w:val="000C06E7"/>
    <w:rsid w:val="000C4D4D"/>
    <w:rsid w:val="000D61AB"/>
    <w:rsid w:val="000F1ADA"/>
    <w:rsid w:val="0010042A"/>
    <w:rsid w:val="0010761D"/>
    <w:rsid w:val="001157C4"/>
    <w:rsid w:val="00123B9D"/>
    <w:rsid w:val="00127A8D"/>
    <w:rsid w:val="00140B81"/>
    <w:rsid w:val="00147971"/>
    <w:rsid w:val="00162261"/>
    <w:rsid w:val="00164F34"/>
    <w:rsid w:val="0016787C"/>
    <w:rsid w:val="001978F4"/>
    <w:rsid w:val="001A0233"/>
    <w:rsid w:val="001A0596"/>
    <w:rsid w:val="001A5B56"/>
    <w:rsid w:val="001A660C"/>
    <w:rsid w:val="001B2D18"/>
    <w:rsid w:val="001B347C"/>
    <w:rsid w:val="001B3555"/>
    <w:rsid w:val="001B3C8F"/>
    <w:rsid w:val="001B3E94"/>
    <w:rsid w:val="001B491C"/>
    <w:rsid w:val="001B79A9"/>
    <w:rsid w:val="001B7B63"/>
    <w:rsid w:val="001C6A6F"/>
    <w:rsid w:val="001D7382"/>
    <w:rsid w:val="001F0199"/>
    <w:rsid w:val="001F0277"/>
    <w:rsid w:val="001F0E07"/>
    <w:rsid w:val="001F24ED"/>
    <w:rsid w:val="001F40D1"/>
    <w:rsid w:val="00203BB7"/>
    <w:rsid w:val="00204B8C"/>
    <w:rsid w:val="002058A7"/>
    <w:rsid w:val="00213805"/>
    <w:rsid w:val="002169BA"/>
    <w:rsid w:val="00222CFF"/>
    <w:rsid w:val="00225612"/>
    <w:rsid w:val="00225F46"/>
    <w:rsid w:val="0023553F"/>
    <w:rsid w:val="00235CB4"/>
    <w:rsid w:val="002406C2"/>
    <w:rsid w:val="00240844"/>
    <w:rsid w:val="00256386"/>
    <w:rsid w:val="00267582"/>
    <w:rsid w:val="0028523A"/>
    <w:rsid w:val="00285B29"/>
    <w:rsid w:val="00293C0F"/>
    <w:rsid w:val="002A3F00"/>
    <w:rsid w:val="002A75AC"/>
    <w:rsid w:val="002B67FF"/>
    <w:rsid w:val="002B7E10"/>
    <w:rsid w:val="002C0CAC"/>
    <w:rsid w:val="002C3E44"/>
    <w:rsid w:val="002E20BD"/>
    <w:rsid w:val="002E4BAC"/>
    <w:rsid w:val="002E6A7D"/>
    <w:rsid w:val="002F4C4A"/>
    <w:rsid w:val="00310DE8"/>
    <w:rsid w:val="00322415"/>
    <w:rsid w:val="003309AE"/>
    <w:rsid w:val="00334F59"/>
    <w:rsid w:val="0033562A"/>
    <w:rsid w:val="0033569A"/>
    <w:rsid w:val="0034063E"/>
    <w:rsid w:val="00345BEF"/>
    <w:rsid w:val="00355C97"/>
    <w:rsid w:val="00375541"/>
    <w:rsid w:val="00384CDB"/>
    <w:rsid w:val="00394962"/>
    <w:rsid w:val="00395AC6"/>
    <w:rsid w:val="003A0F49"/>
    <w:rsid w:val="003A1CF0"/>
    <w:rsid w:val="003A1D7E"/>
    <w:rsid w:val="003A699F"/>
    <w:rsid w:val="003A7B83"/>
    <w:rsid w:val="003C3BFB"/>
    <w:rsid w:val="003C5003"/>
    <w:rsid w:val="003D0BED"/>
    <w:rsid w:val="003D5155"/>
    <w:rsid w:val="003E5C1E"/>
    <w:rsid w:val="003F6C0C"/>
    <w:rsid w:val="00400856"/>
    <w:rsid w:val="004011AD"/>
    <w:rsid w:val="00420064"/>
    <w:rsid w:val="0044666B"/>
    <w:rsid w:val="00473BED"/>
    <w:rsid w:val="004902A1"/>
    <w:rsid w:val="004921D9"/>
    <w:rsid w:val="00492C35"/>
    <w:rsid w:val="004A089D"/>
    <w:rsid w:val="004A140D"/>
    <w:rsid w:val="004A3E6A"/>
    <w:rsid w:val="004C2966"/>
    <w:rsid w:val="004C5581"/>
    <w:rsid w:val="004D172C"/>
    <w:rsid w:val="004D7831"/>
    <w:rsid w:val="004E10EE"/>
    <w:rsid w:val="004E702B"/>
    <w:rsid w:val="004E7A1E"/>
    <w:rsid w:val="004F07F3"/>
    <w:rsid w:val="004F2EBF"/>
    <w:rsid w:val="004F7933"/>
    <w:rsid w:val="0050044D"/>
    <w:rsid w:val="005063D4"/>
    <w:rsid w:val="00507D95"/>
    <w:rsid w:val="0052224B"/>
    <w:rsid w:val="0052595D"/>
    <w:rsid w:val="00532F0A"/>
    <w:rsid w:val="0053353B"/>
    <w:rsid w:val="00534100"/>
    <w:rsid w:val="00535348"/>
    <w:rsid w:val="00551C5E"/>
    <w:rsid w:val="00553B85"/>
    <w:rsid w:val="00562E84"/>
    <w:rsid w:val="005757EE"/>
    <w:rsid w:val="00575A1E"/>
    <w:rsid w:val="0059292F"/>
    <w:rsid w:val="00592E51"/>
    <w:rsid w:val="005A644B"/>
    <w:rsid w:val="005B0C18"/>
    <w:rsid w:val="005B62AE"/>
    <w:rsid w:val="005B663F"/>
    <w:rsid w:val="005C07C7"/>
    <w:rsid w:val="005C0ABE"/>
    <w:rsid w:val="005C5E2A"/>
    <w:rsid w:val="005E6AC5"/>
    <w:rsid w:val="005F1943"/>
    <w:rsid w:val="005F4C75"/>
    <w:rsid w:val="00601C47"/>
    <w:rsid w:val="00604730"/>
    <w:rsid w:val="00610F24"/>
    <w:rsid w:val="0061776B"/>
    <w:rsid w:val="00620F2E"/>
    <w:rsid w:val="00623C73"/>
    <w:rsid w:val="00627724"/>
    <w:rsid w:val="006303FA"/>
    <w:rsid w:val="00646810"/>
    <w:rsid w:val="00653537"/>
    <w:rsid w:val="00654A7C"/>
    <w:rsid w:val="0065579E"/>
    <w:rsid w:val="0066642D"/>
    <w:rsid w:val="00675B3A"/>
    <w:rsid w:val="006812DD"/>
    <w:rsid w:val="006820E3"/>
    <w:rsid w:val="00687F32"/>
    <w:rsid w:val="00695030"/>
    <w:rsid w:val="006A64CF"/>
    <w:rsid w:val="006B06C1"/>
    <w:rsid w:val="006B3FEB"/>
    <w:rsid w:val="006B5C5C"/>
    <w:rsid w:val="006C0574"/>
    <w:rsid w:val="006C749D"/>
    <w:rsid w:val="006D3593"/>
    <w:rsid w:val="006E3ADB"/>
    <w:rsid w:val="006F18D0"/>
    <w:rsid w:val="006F41F5"/>
    <w:rsid w:val="00700911"/>
    <w:rsid w:val="00700ECC"/>
    <w:rsid w:val="007014BC"/>
    <w:rsid w:val="00705379"/>
    <w:rsid w:val="00715829"/>
    <w:rsid w:val="00716C96"/>
    <w:rsid w:val="00720639"/>
    <w:rsid w:val="00723E33"/>
    <w:rsid w:val="00727AB0"/>
    <w:rsid w:val="00734669"/>
    <w:rsid w:val="0074056D"/>
    <w:rsid w:val="007503D6"/>
    <w:rsid w:val="00757913"/>
    <w:rsid w:val="00765FBA"/>
    <w:rsid w:val="0077301D"/>
    <w:rsid w:val="00776A2E"/>
    <w:rsid w:val="0078045A"/>
    <w:rsid w:val="00781F5C"/>
    <w:rsid w:val="00782725"/>
    <w:rsid w:val="00783127"/>
    <w:rsid w:val="00783F52"/>
    <w:rsid w:val="00795415"/>
    <w:rsid w:val="00797B39"/>
    <w:rsid w:val="00797C14"/>
    <w:rsid w:val="007A52E9"/>
    <w:rsid w:val="007B19C4"/>
    <w:rsid w:val="007E78AE"/>
    <w:rsid w:val="007F1C8C"/>
    <w:rsid w:val="007F5650"/>
    <w:rsid w:val="007F5905"/>
    <w:rsid w:val="007F6592"/>
    <w:rsid w:val="008059F1"/>
    <w:rsid w:val="00817D21"/>
    <w:rsid w:val="00821BCB"/>
    <w:rsid w:val="00824E75"/>
    <w:rsid w:val="00825703"/>
    <w:rsid w:val="00836B7A"/>
    <w:rsid w:val="00843520"/>
    <w:rsid w:val="00851FCE"/>
    <w:rsid w:val="00854125"/>
    <w:rsid w:val="00862C69"/>
    <w:rsid w:val="00876396"/>
    <w:rsid w:val="00881EBB"/>
    <w:rsid w:val="00885438"/>
    <w:rsid w:val="00886DA8"/>
    <w:rsid w:val="00886E83"/>
    <w:rsid w:val="00894787"/>
    <w:rsid w:val="00895CEA"/>
    <w:rsid w:val="00896AF2"/>
    <w:rsid w:val="008A3608"/>
    <w:rsid w:val="008A57BD"/>
    <w:rsid w:val="008A6E33"/>
    <w:rsid w:val="008A7787"/>
    <w:rsid w:val="008B62A0"/>
    <w:rsid w:val="008C42D0"/>
    <w:rsid w:val="008D0C27"/>
    <w:rsid w:val="008E2E06"/>
    <w:rsid w:val="008E3067"/>
    <w:rsid w:val="008E3B9E"/>
    <w:rsid w:val="008E6079"/>
    <w:rsid w:val="00900351"/>
    <w:rsid w:val="00904036"/>
    <w:rsid w:val="009049DA"/>
    <w:rsid w:val="00904D28"/>
    <w:rsid w:val="009110E1"/>
    <w:rsid w:val="00913901"/>
    <w:rsid w:val="009218FF"/>
    <w:rsid w:val="0092262F"/>
    <w:rsid w:val="00923818"/>
    <w:rsid w:val="00926DDD"/>
    <w:rsid w:val="00932072"/>
    <w:rsid w:val="00945021"/>
    <w:rsid w:val="009457D6"/>
    <w:rsid w:val="00947AA2"/>
    <w:rsid w:val="00951157"/>
    <w:rsid w:val="00977C41"/>
    <w:rsid w:val="00983278"/>
    <w:rsid w:val="00991221"/>
    <w:rsid w:val="009917B5"/>
    <w:rsid w:val="00992C1A"/>
    <w:rsid w:val="00994E38"/>
    <w:rsid w:val="00995C14"/>
    <w:rsid w:val="00995D33"/>
    <w:rsid w:val="00996750"/>
    <w:rsid w:val="009A1A3A"/>
    <w:rsid w:val="009A1CFD"/>
    <w:rsid w:val="009C08C1"/>
    <w:rsid w:val="009C2C7F"/>
    <w:rsid w:val="009E1666"/>
    <w:rsid w:val="009E3F33"/>
    <w:rsid w:val="009E766C"/>
    <w:rsid w:val="009F34A7"/>
    <w:rsid w:val="009F3D8B"/>
    <w:rsid w:val="009F41BF"/>
    <w:rsid w:val="009F699D"/>
    <w:rsid w:val="00A00643"/>
    <w:rsid w:val="00A022B6"/>
    <w:rsid w:val="00A055F3"/>
    <w:rsid w:val="00A06B41"/>
    <w:rsid w:val="00A15261"/>
    <w:rsid w:val="00A2019C"/>
    <w:rsid w:val="00A21013"/>
    <w:rsid w:val="00A27907"/>
    <w:rsid w:val="00A31239"/>
    <w:rsid w:val="00A41A64"/>
    <w:rsid w:val="00A426AE"/>
    <w:rsid w:val="00A43A0D"/>
    <w:rsid w:val="00A44A9D"/>
    <w:rsid w:val="00A520C7"/>
    <w:rsid w:val="00A527EB"/>
    <w:rsid w:val="00A5579D"/>
    <w:rsid w:val="00A568EC"/>
    <w:rsid w:val="00A658B6"/>
    <w:rsid w:val="00A673C8"/>
    <w:rsid w:val="00A769E6"/>
    <w:rsid w:val="00A805E5"/>
    <w:rsid w:val="00A83CC5"/>
    <w:rsid w:val="00A95478"/>
    <w:rsid w:val="00A95B3F"/>
    <w:rsid w:val="00AA0A95"/>
    <w:rsid w:val="00AC0B58"/>
    <w:rsid w:val="00AC1F64"/>
    <w:rsid w:val="00AC2556"/>
    <w:rsid w:val="00AC3552"/>
    <w:rsid w:val="00AD16E9"/>
    <w:rsid w:val="00AD5B41"/>
    <w:rsid w:val="00AD7048"/>
    <w:rsid w:val="00AF05E0"/>
    <w:rsid w:val="00B02636"/>
    <w:rsid w:val="00B12CC0"/>
    <w:rsid w:val="00B15277"/>
    <w:rsid w:val="00B202D1"/>
    <w:rsid w:val="00B231A5"/>
    <w:rsid w:val="00B2707B"/>
    <w:rsid w:val="00B32CA3"/>
    <w:rsid w:val="00B35D96"/>
    <w:rsid w:val="00B4486D"/>
    <w:rsid w:val="00B619D0"/>
    <w:rsid w:val="00B623E1"/>
    <w:rsid w:val="00B9297A"/>
    <w:rsid w:val="00B93C9C"/>
    <w:rsid w:val="00B95681"/>
    <w:rsid w:val="00B96F94"/>
    <w:rsid w:val="00B97390"/>
    <w:rsid w:val="00BC0B64"/>
    <w:rsid w:val="00BC7E80"/>
    <w:rsid w:val="00BD150F"/>
    <w:rsid w:val="00BE68A3"/>
    <w:rsid w:val="00BE72D7"/>
    <w:rsid w:val="00BF521E"/>
    <w:rsid w:val="00BF6887"/>
    <w:rsid w:val="00C10720"/>
    <w:rsid w:val="00C17AF0"/>
    <w:rsid w:val="00C20655"/>
    <w:rsid w:val="00C32CBA"/>
    <w:rsid w:val="00C412BE"/>
    <w:rsid w:val="00C539B5"/>
    <w:rsid w:val="00C5567B"/>
    <w:rsid w:val="00C60A14"/>
    <w:rsid w:val="00C630B2"/>
    <w:rsid w:val="00C66C78"/>
    <w:rsid w:val="00C771C4"/>
    <w:rsid w:val="00C84905"/>
    <w:rsid w:val="00C86B07"/>
    <w:rsid w:val="00C9107D"/>
    <w:rsid w:val="00C9539B"/>
    <w:rsid w:val="00CA5779"/>
    <w:rsid w:val="00CB0949"/>
    <w:rsid w:val="00CB0EE2"/>
    <w:rsid w:val="00CB6BF2"/>
    <w:rsid w:val="00CC2106"/>
    <w:rsid w:val="00CC5249"/>
    <w:rsid w:val="00CC6300"/>
    <w:rsid w:val="00CD44CD"/>
    <w:rsid w:val="00CD6BE9"/>
    <w:rsid w:val="00CD75D3"/>
    <w:rsid w:val="00CE2C87"/>
    <w:rsid w:val="00CF4465"/>
    <w:rsid w:val="00D03CCF"/>
    <w:rsid w:val="00D06DE1"/>
    <w:rsid w:val="00D108B5"/>
    <w:rsid w:val="00D11126"/>
    <w:rsid w:val="00D13E34"/>
    <w:rsid w:val="00D22F56"/>
    <w:rsid w:val="00D351FD"/>
    <w:rsid w:val="00D37499"/>
    <w:rsid w:val="00D37E22"/>
    <w:rsid w:val="00D64E52"/>
    <w:rsid w:val="00D6562C"/>
    <w:rsid w:val="00D912E7"/>
    <w:rsid w:val="00DA132F"/>
    <w:rsid w:val="00DA7987"/>
    <w:rsid w:val="00DB2C74"/>
    <w:rsid w:val="00DD5B98"/>
    <w:rsid w:val="00DE5F42"/>
    <w:rsid w:val="00DE629E"/>
    <w:rsid w:val="00DE7540"/>
    <w:rsid w:val="00DF0C02"/>
    <w:rsid w:val="00DF76D9"/>
    <w:rsid w:val="00E025C9"/>
    <w:rsid w:val="00E146D4"/>
    <w:rsid w:val="00E15874"/>
    <w:rsid w:val="00E2656F"/>
    <w:rsid w:val="00E35754"/>
    <w:rsid w:val="00E37BA3"/>
    <w:rsid w:val="00E50D32"/>
    <w:rsid w:val="00E53060"/>
    <w:rsid w:val="00E56E0A"/>
    <w:rsid w:val="00E62B41"/>
    <w:rsid w:val="00E71E60"/>
    <w:rsid w:val="00E7463A"/>
    <w:rsid w:val="00E81ADC"/>
    <w:rsid w:val="00E85D49"/>
    <w:rsid w:val="00E86706"/>
    <w:rsid w:val="00E871D8"/>
    <w:rsid w:val="00E934A9"/>
    <w:rsid w:val="00E96671"/>
    <w:rsid w:val="00E977D9"/>
    <w:rsid w:val="00EA0BDC"/>
    <w:rsid w:val="00EA133C"/>
    <w:rsid w:val="00EA3205"/>
    <w:rsid w:val="00EA3DEA"/>
    <w:rsid w:val="00EB217B"/>
    <w:rsid w:val="00EC3D73"/>
    <w:rsid w:val="00EC4C6C"/>
    <w:rsid w:val="00ED0C0A"/>
    <w:rsid w:val="00ED0E5B"/>
    <w:rsid w:val="00ED30D3"/>
    <w:rsid w:val="00ED3735"/>
    <w:rsid w:val="00ED4420"/>
    <w:rsid w:val="00ED4F01"/>
    <w:rsid w:val="00EE40E7"/>
    <w:rsid w:val="00EF124B"/>
    <w:rsid w:val="00EF274C"/>
    <w:rsid w:val="00EF4068"/>
    <w:rsid w:val="00EF480E"/>
    <w:rsid w:val="00EF5369"/>
    <w:rsid w:val="00F01855"/>
    <w:rsid w:val="00F051B0"/>
    <w:rsid w:val="00F06915"/>
    <w:rsid w:val="00F11AE5"/>
    <w:rsid w:val="00F1486C"/>
    <w:rsid w:val="00F26BF5"/>
    <w:rsid w:val="00F34A35"/>
    <w:rsid w:val="00F34DAA"/>
    <w:rsid w:val="00F36409"/>
    <w:rsid w:val="00F419DE"/>
    <w:rsid w:val="00F4464F"/>
    <w:rsid w:val="00F51976"/>
    <w:rsid w:val="00F5248C"/>
    <w:rsid w:val="00F547B6"/>
    <w:rsid w:val="00F70CD4"/>
    <w:rsid w:val="00F7267B"/>
    <w:rsid w:val="00F77F33"/>
    <w:rsid w:val="00F81B44"/>
    <w:rsid w:val="00F92FCC"/>
    <w:rsid w:val="00F955F9"/>
    <w:rsid w:val="00FB7B2C"/>
    <w:rsid w:val="00FC4B54"/>
    <w:rsid w:val="00FD15D0"/>
    <w:rsid w:val="00FE4168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7411B"/>
  <w15:docId w15:val="{88A91CB0-2B8E-4421-8300-72916CA4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qFormat/>
    <w:rsid w:val="00C5567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285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8523A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85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8523A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rsid w:val="00C5567B"/>
    <w:rPr>
      <w:rFonts w:ascii="Times New Roman" w:eastAsia="Times New Roman" w:hAnsi="Times New Roman" w:cs="Times New Roman"/>
      <w:sz w:val="24"/>
      <w:szCs w:val="20"/>
    </w:rPr>
  </w:style>
  <w:style w:type="character" w:customStyle="1" w:styleId="st1">
    <w:name w:val="st1"/>
    <w:basedOn w:val="Numatytasispastraiposriftas"/>
    <w:rsid w:val="00C5567B"/>
  </w:style>
  <w:style w:type="paragraph" w:styleId="Sraopastraipa">
    <w:name w:val="List Paragraph"/>
    <w:basedOn w:val="prastasis"/>
    <w:uiPriority w:val="34"/>
    <w:qFormat/>
    <w:rsid w:val="0092262F"/>
    <w:pPr>
      <w:ind w:left="720"/>
      <w:contextualSpacing/>
    </w:pPr>
  </w:style>
  <w:style w:type="paragraph" w:styleId="Porat">
    <w:name w:val="footer"/>
    <w:basedOn w:val="prastasis"/>
    <w:link w:val="PoratDiagrama"/>
    <w:uiPriority w:val="99"/>
    <w:unhideWhenUsed/>
    <w:rsid w:val="001B3E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E94"/>
  </w:style>
  <w:style w:type="paragraph" w:styleId="Betarp">
    <w:name w:val="No Spacing"/>
    <w:uiPriority w:val="99"/>
    <w:qFormat/>
    <w:rsid w:val="004011AD"/>
    <w:pPr>
      <w:spacing w:after="0" w:line="240" w:lineRule="auto"/>
    </w:pPr>
  </w:style>
  <w:style w:type="table" w:styleId="Lentelstinklelis">
    <w:name w:val="Table Grid"/>
    <w:basedOn w:val="prastojilentel"/>
    <w:uiPriority w:val="59"/>
    <w:rsid w:val="00F92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link w:val="PagrindinistekstasDiagrama"/>
    <w:unhideWhenUsed/>
    <w:rsid w:val="00EF124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F124B"/>
    <w:rPr>
      <w:rFonts w:ascii="Times New Roman" w:eastAsia="Times New Roman" w:hAnsi="Times New Roman" w:cs="Times New Roman"/>
      <w:sz w:val="24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ED0E5B"/>
    <w:rPr>
      <w:color w:val="0000FF"/>
      <w:u w:val="singl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A3123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A3123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A31239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31239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31239"/>
    <w:rPr>
      <w:b/>
      <w:bCs/>
      <w:sz w:val="20"/>
      <w:szCs w:val="20"/>
    </w:rPr>
  </w:style>
  <w:style w:type="paragraph" w:customStyle="1" w:styleId="Default">
    <w:name w:val="Default"/>
    <w:rsid w:val="00AC25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807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02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05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405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051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145C-8CA7-4F06-8AA4-201E97CFD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1679</Words>
  <Characters>958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Bieliūnaitė-Vanagienė</dc:creator>
  <cp:lastModifiedBy>Jurgita Jurkonytė</cp:lastModifiedBy>
  <cp:revision>2</cp:revision>
  <cp:lastPrinted>2024-02-21T08:43:00Z</cp:lastPrinted>
  <dcterms:created xsi:type="dcterms:W3CDTF">2024-02-21T08:44:00Z</dcterms:created>
  <dcterms:modified xsi:type="dcterms:W3CDTF">2024-02-21T08:44:00Z</dcterms:modified>
</cp:coreProperties>
</file>