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31F1ED56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AB2226">
        <w:rPr>
          <w:b/>
          <w:shd w:val="clear" w:color="auto" w:fill="FFFFFF"/>
        </w:rPr>
        <w:t>R. PAN</w:t>
      </w:r>
      <w:r w:rsidR="004674FC">
        <w:rPr>
          <w:b/>
          <w:shd w:val="clear" w:color="auto" w:fill="FFFFFF"/>
        </w:rPr>
        <w:t>EMUNĖLIO</w:t>
      </w:r>
      <w:r w:rsidR="00AB2226">
        <w:rPr>
          <w:b/>
          <w:shd w:val="clear" w:color="auto" w:fill="FFFFFF"/>
        </w:rPr>
        <w:t xml:space="preserve"> UNIVERSALAUS DAUGIAFUNKCIO CENTRO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14CC0FAD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2226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balandžio </w:t>
      </w:r>
      <w:r w:rsidR="006711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6711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179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277DBF00" w:rsidR="00D128BA" w:rsidRPr="002F7DA7" w:rsidRDefault="00D128BA" w:rsidP="00D128BA">
      <w:pPr>
        <w:ind w:firstLine="851"/>
        <w:jc w:val="both"/>
        <w:rPr>
          <w:color w:val="FF0000"/>
        </w:rPr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</w:t>
      </w:r>
      <w:r w:rsidR="002F7DA7" w:rsidRPr="00464BCD">
        <w:rPr>
          <w:color w:val="000000" w:themeColor="text1"/>
        </w:rPr>
        <w:t>27 straipsnio 2 dalies 6 punktu,</w:t>
      </w:r>
    </w:p>
    <w:p w14:paraId="64F7AA70" w14:textId="483D0422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AB2226">
        <w:t>r. Pan</w:t>
      </w:r>
      <w:r w:rsidR="004674FC">
        <w:t>emunėlio</w:t>
      </w:r>
      <w:r w:rsidR="00AB2226">
        <w:t xml:space="preserve"> universalaus daugiafunkcio centro</w:t>
      </w:r>
      <w:r w:rsidRPr="008723C1">
        <w:t xml:space="preserve"> nuostat</w:t>
      </w:r>
      <w:r>
        <w:t>us (</w:t>
      </w:r>
      <w:r w:rsidR="00650101">
        <w:t>priedas</w:t>
      </w:r>
      <w:r>
        <w:t xml:space="preserve">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3D7780CB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 xml:space="preserve">Savivaldybės </w:t>
      </w:r>
      <w:r w:rsidR="00AB2226">
        <w:rPr>
          <w:szCs w:val="24"/>
        </w:rPr>
        <w:t>meras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</w:t>
      </w:r>
      <w:r w:rsidR="00AB2226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</w:t>
      </w:r>
      <w:r w:rsidR="00AB2226">
        <w:rPr>
          <w:szCs w:val="24"/>
        </w:rPr>
        <w:t xml:space="preserve"> 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871F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51167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2F7DA7"/>
    <w:rsid w:val="0031494C"/>
    <w:rsid w:val="0031575C"/>
    <w:rsid w:val="00332179"/>
    <w:rsid w:val="00350885"/>
    <w:rsid w:val="00361915"/>
    <w:rsid w:val="00371FEE"/>
    <w:rsid w:val="003B7C14"/>
    <w:rsid w:val="003D08D1"/>
    <w:rsid w:val="00414ED1"/>
    <w:rsid w:val="0042026F"/>
    <w:rsid w:val="00430EFE"/>
    <w:rsid w:val="00464BCD"/>
    <w:rsid w:val="004674FC"/>
    <w:rsid w:val="00470EF7"/>
    <w:rsid w:val="00476041"/>
    <w:rsid w:val="004A2743"/>
    <w:rsid w:val="004A77EA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50101"/>
    <w:rsid w:val="006711EE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71FEC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313A"/>
    <w:rsid w:val="009E503F"/>
    <w:rsid w:val="009E5919"/>
    <w:rsid w:val="00A05F80"/>
    <w:rsid w:val="00A22DD7"/>
    <w:rsid w:val="00A24B9E"/>
    <w:rsid w:val="00A316DA"/>
    <w:rsid w:val="00A54852"/>
    <w:rsid w:val="00A602A2"/>
    <w:rsid w:val="00AB2226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43E58"/>
    <w:rsid w:val="00D542BC"/>
    <w:rsid w:val="00D573FD"/>
    <w:rsid w:val="00D80885"/>
    <w:rsid w:val="00D91D57"/>
    <w:rsid w:val="00D929B6"/>
    <w:rsid w:val="00D95ADD"/>
    <w:rsid w:val="00D9675C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2024-04-04T08:37:00Z</cp:lastPrinted>
  <dcterms:created xsi:type="dcterms:W3CDTF">2024-04-04T08:37:00Z</dcterms:created>
  <dcterms:modified xsi:type="dcterms:W3CDTF">2024-04-04T08:37:00Z</dcterms:modified>
</cp:coreProperties>
</file>