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9C9" w14:textId="10442BCD" w:rsidR="00A3039A" w:rsidRPr="00E24724" w:rsidRDefault="0049138C" w:rsidP="0049138C">
      <w:pPr>
        <w:tabs>
          <w:tab w:val="left" w:pos="7371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PRITARTA</w:t>
      </w:r>
    </w:p>
    <w:p w14:paraId="04B1654E" w14:textId="57BAA349" w:rsidR="00D37FBD" w:rsidRDefault="0049138C" w:rsidP="00A3039A">
      <w:pPr>
        <w:tabs>
          <w:tab w:val="left" w:pos="935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Rokiškio rajono savivaldybės</w:t>
      </w:r>
      <w:r w:rsidR="00D37FBD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 xml:space="preserve">tarybos </w:t>
      </w:r>
    </w:p>
    <w:p w14:paraId="5FD88DB0" w14:textId="4E78C037" w:rsidR="00A3039A" w:rsidRPr="00E24724" w:rsidRDefault="0049138C" w:rsidP="00A3039A">
      <w:pPr>
        <w:tabs>
          <w:tab w:val="left" w:pos="935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202</w:t>
      </w:r>
      <w:r w:rsidR="00A52AE1">
        <w:rPr>
          <w:sz w:val="24"/>
          <w:szCs w:val="24"/>
          <w:lang w:val="lt-LT"/>
        </w:rPr>
        <w:t>4</w:t>
      </w:r>
      <w:r w:rsidR="00A3039A" w:rsidRPr="00E24724">
        <w:rPr>
          <w:sz w:val="24"/>
          <w:szCs w:val="24"/>
          <w:lang w:val="lt-LT"/>
        </w:rPr>
        <w:t xml:space="preserve"> m. </w:t>
      </w:r>
      <w:r w:rsidR="00A52AE1">
        <w:rPr>
          <w:sz w:val="24"/>
          <w:szCs w:val="24"/>
          <w:lang w:val="lt-LT"/>
        </w:rPr>
        <w:t>kovo</w:t>
      </w:r>
      <w:r w:rsidR="007E70BA">
        <w:rPr>
          <w:sz w:val="24"/>
          <w:szCs w:val="24"/>
          <w:lang w:val="lt-LT"/>
        </w:rPr>
        <w:t xml:space="preserve"> </w:t>
      </w:r>
      <w:r w:rsidR="00E259B5">
        <w:rPr>
          <w:sz w:val="24"/>
          <w:szCs w:val="24"/>
          <w:lang w:val="lt-LT"/>
        </w:rPr>
        <w:t>28</w:t>
      </w:r>
      <w:r w:rsidR="007E70BA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>d.</w:t>
      </w:r>
      <w:r w:rsidR="00D37FBD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>sprendimu Nr. TS-</w:t>
      </w:r>
      <w:r w:rsidR="008707F7">
        <w:rPr>
          <w:sz w:val="24"/>
          <w:szCs w:val="24"/>
          <w:lang w:val="lt-LT"/>
        </w:rPr>
        <w:t>47</w:t>
      </w:r>
    </w:p>
    <w:p w14:paraId="11C0830A" w14:textId="77777777" w:rsidR="00A3039A" w:rsidRPr="00E24724" w:rsidRDefault="00A3039A" w:rsidP="00A3039A">
      <w:pPr>
        <w:jc w:val="both"/>
        <w:rPr>
          <w:b/>
          <w:bCs/>
          <w:sz w:val="24"/>
          <w:szCs w:val="24"/>
          <w:lang w:val="lt-LT"/>
        </w:rPr>
      </w:pPr>
    </w:p>
    <w:p w14:paraId="216FD1E7" w14:textId="22510C86" w:rsidR="00A3039A" w:rsidRDefault="00A3039A" w:rsidP="00A3039A">
      <w:pPr>
        <w:pStyle w:val="Pagrindinistekstas"/>
        <w:jc w:val="center"/>
        <w:rPr>
          <w:b/>
        </w:rPr>
      </w:pPr>
      <w:r w:rsidRPr="00E24724">
        <w:rPr>
          <w:b/>
        </w:rPr>
        <w:t>202</w:t>
      </w:r>
      <w:r w:rsidR="007E70BA">
        <w:rPr>
          <w:b/>
        </w:rPr>
        <w:t>3</w:t>
      </w:r>
      <w:r w:rsidRPr="00E24724">
        <w:rPr>
          <w:b/>
        </w:rPr>
        <w:t xml:space="preserve"> METŲ </w:t>
      </w:r>
      <w:r w:rsidRPr="00E24724">
        <w:rPr>
          <w:b/>
          <w:bCs/>
        </w:rPr>
        <w:t>ROKIŠKIO RAJONO SAVIVALDYBĖS</w:t>
      </w:r>
      <w:r w:rsidRPr="00E24724">
        <w:rPr>
          <w:b/>
        </w:rPr>
        <w:t xml:space="preserve"> KAIMO PROGRAMOS (KP) LĖŠŲ PANAUDOJIMAS</w:t>
      </w:r>
    </w:p>
    <w:p w14:paraId="48CA1B0D" w14:textId="77777777" w:rsidR="00982C8C" w:rsidRDefault="00982C8C" w:rsidP="00A3039A">
      <w:pPr>
        <w:pStyle w:val="Pagrindinistekstas"/>
        <w:jc w:val="center"/>
        <w:rPr>
          <w:b/>
        </w:rPr>
      </w:pPr>
    </w:p>
    <w:p w14:paraId="23B091C1" w14:textId="77777777" w:rsidR="00982C8C" w:rsidRPr="00E24724" w:rsidRDefault="00982C8C" w:rsidP="00A3039A">
      <w:pPr>
        <w:pStyle w:val="Pagrindinistekstas"/>
        <w:jc w:val="center"/>
        <w:rPr>
          <w:b/>
        </w:rPr>
      </w:pPr>
    </w:p>
    <w:p w14:paraId="47D45834" w14:textId="77926B86" w:rsidR="00982C8C" w:rsidRPr="001F0E2F" w:rsidRDefault="00982C8C" w:rsidP="00982C8C">
      <w:pPr>
        <w:pStyle w:val="Betarp"/>
        <w:ind w:firstLine="1296"/>
        <w:jc w:val="both"/>
        <w:rPr>
          <w:sz w:val="24"/>
          <w:szCs w:val="24"/>
        </w:rPr>
      </w:pPr>
      <w:r w:rsidRPr="001F0E2F">
        <w:rPr>
          <w:sz w:val="24"/>
          <w:szCs w:val="24"/>
        </w:rPr>
        <w:t>2023 m. K</w:t>
      </w:r>
      <w:r>
        <w:rPr>
          <w:sz w:val="24"/>
          <w:szCs w:val="24"/>
        </w:rPr>
        <w:t>aimo programos</w:t>
      </w:r>
      <w:r w:rsidRPr="001F0E2F">
        <w:rPr>
          <w:sz w:val="24"/>
          <w:szCs w:val="24"/>
        </w:rPr>
        <w:t xml:space="preserve"> veiklai buvo skirta 120 tūkst. Eur. </w:t>
      </w:r>
      <w:r>
        <w:rPr>
          <w:sz w:val="24"/>
          <w:szCs w:val="24"/>
        </w:rPr>
        <w:t xml:space="preserve">Didžioji dalis lėšų - 69 proc. (82 tūkst. eurų) buvo nukreipta melioracijos gerinimo priemonėms. Šalinti </w:t>
      </w:r>
      <w:r>
        <w:rPr>
          <w:sz w:val="24"/>
          <w:szCs w:val="24"/>
          <w:lang w:val="lt-LT"/>
        </w:rPr>
        <w:t>avariniai m</w:t>
      </w:r>
      <w:r w:rsidRPr="00E24724">
        <w:rPr>
          <w:sz w:val="24"/>
          <w:szCs w:val="24"/>
          <w:lang w:val="lt-LT"/>
        </w:rPr>
        <w:t>elioracijos statinių</w:t>
      </w:r>
      <w:r>
        <w:rPr>
          <w:sz w:val="24"/>
          <w:szCs w:val="24"/>
          <w:lang w:val="lt-LT"/>
        </w:rPr>
        <w:t xml:space="preserve"> gedimai dviejose gyvenvietėse (20 tūkst. eurų) ir kompensuotos </w:t>
      </w:r>
      <w:r w:rsidRPr="001F0E2F">
        <w:rPr>
          <w:sz w:val="24"/>
          <w:szCs w:val="24"/>
        </w:rPr>
        <w:t>126 ūkininkų išlaidos (62 </w:t>
      </w:r>
      <w:r>
        <w:rPr>
          <w:sz w:val="24"/>
          <w:szCs w:val="24"/>
        </w:rPr>
        <w:t>tūkst.</w:t>
      </w:r>
      <w:r w:rsidRPr="001F0E2F">
        <w:rPr>
          <w:sz w:val="24"/>
          <w:szCs w:val="24"/>
        </w:rPr>
        <w:t xml:space="preserve"> </w:t>
      </w:r>
      <w:r>
        <w:rPr>
          <w:sz w:val="24"/>
          <w:szCs w:val="24"/>
        </w:rPr>
        <w:t>eurų</w:t>
      </w:r>
      <w:r w:rsidRPr="001F0E2F">
        <w:rPr>
          <w:sz w:val="24"/>
          <w:szCs w:val="24"/>
        </w:rPr>
        <w:t>)</w:t>
      </w:r>
      <w:r>
        <w:rPr>
          <w:sz w:val="24"/>
          <w:szCs w:val="24"/>
          <w:lang w:val="lt-LT"/>
        </w:rPr>
        <w:t xml:space="preserve"> remontuojant drenažą. </w:t>
      </w:r>
      <w:r w:rsidRPr="001F0E2F">
        <w:rPr>
          <w:sz w:val="24"/>
          <w:szCs w:val="24"/>
        </w:rPr>
        <w:t>Patys ūkininkai, tvarkydami melioracijos gedimus, investavo 7</w:t>
      </w:r>
      <w:r>
        <w:rPr>
          <w:sz w:val="24"/>
          <w:szCs w:val="24"/>
        </w:rPr>
        <w:t xml:space="preserve">3 tūkst. </w:t>
      </w:r>
      <w:r w:rsidRPr="001F0E2F">
        <w:rPr>
          <w:sz w:val="24"/>
          <w:szCs w:val="24"/>
        </w:rPr>
        <w:t>Eur. Kompensuota 51 ūkininkui už pirktą žvyrą, paskleistą ant vietinės reikšmės kelių</w:t>
      </w:r>
      <w:r>
        <w:rPr>
          <w:sz w:val="24"/>
          <w:szCs w:val="24"/>
        </w:rPr>
        <w:t xml:space="preserve"> devyniose kaimiškosiose seniūnijose</w:t>
      </w:r>
      <w:r w:rsidRPr="001F0E2F">
        <w:rPr>
          <w:sz w:val="24"/>
          <w:szCs w:val="24"/>
        </w:rPr>
        <w:t xml:space="preserve"> – 25 </w:t>
      </w:r>
      <w:r>
        <w:rPr>
          <w:sz w:val="24"/>
          <w:szCs w:val="24"/>
        </w:rPr>
        <w:t xml:space="preserve"> tūkst.</w:t>
      </w:r>
      <w:r w:rsidRPr="001F0E2F">
        <w:rPr>
          <w:sz w:val="24"/>
          <w:szCs w:val="24"/>
        </w:rPr>
        <w:t xml:space="preserve"> Eur. Paremta rajono trumpųjų maisto tiekimo grandinių veikla – kompensuota </w:t>
      </w:r>
      <w:r>
        <w:rPr>
          <w:sz w:val="24"/>
          <w:szCs w:val="24"/>
        </w:rPr>
        <w:t>naujai įsikūrusiam žemės ūkio</w:t>
      </w:r>
      <w:r w:rsidRPr="001F0E2F">
        <w:rPr>
          <w:sz w:val="24"/>
          <w:szCs w:val="24"/>
        </w:rPr>
        <w:t xml:space="preserve"> kooperatyvui ,,Ūkio ratas“, tiesiogiai tiekiančiam </w:t>
      </w:r>
      <w:r>
        <w:rPr>
          <w:sz w:val="24"/>
          <w:szCs w:val="24"/>
        </w:rPr>
        <w:t xml:space="preserve">rajono ūkininkų išaugintą </w:t>
      </w:r>
      <w:r w:rsidRPr="001F0E2F">
        <w:rPr>
          <w:sz w:val="24"/>
          <w:szCs w:val="24"/>
        </w:rPr>
        <w:t xml:space="preserve"> produkciją į švietimo įstaigas, už įsigytas, veiklos pradžiai būtinas kanceliarines priemones ir kompiuterinę įrangą (1</w:t>
      </w:r>
      <w:r>
        <w:rPr>
          <w:sz w:val="24"/>
          <w:szCs w:val="24"/>
        </w:rPr>
        <w:t>,</w:t>
      </w:r>
      <w:r w:rsidRPr="001F0E2F">
        <w:rPr>
          <w:sz w:val="24"/>
          <w:szCs w:val="24"/>
        </w:rPr>
        <w:t>6</w:t>
      </w:r>
      <w:r>
        <w:rPr>
          <w:sz w:val="24"/>
          <w:szCs w:val="24"/>
        </w:rPr>
        <w:t xml:space="preserve"> tūkst.</w:t>
      </w:r>
      <w:r w:rsidRPr="001F0E2F">
        <w:rPr>
          <w:sz w:val="24"/>
          <w:szCs w:val="24"/>
        </w:rPr>
        <w:t xml:space="preserve"> Eur). Vykdyta rajono žemdirbių pagerbimo šventė, kompensuoti kaime veikiančių asociacijų perregistravimo mokesčiai.</w:t>
      </w:r>
    </w:p>
    <w:p w14:paraId="59D45864" w14:textId="77777777" w:rsidR="00A3039A" w:rsidRPr="00E24724" w:rsidRDefault="00A3039A" w:rsidP="00A3039A">
      <w:pPr>
        <w:pStyle w:val="Pagrindinistekstas"/>
        <w:jc w:val="both"/>
        <w:rPr>
          <w:b/>
        </w:rPr>
      </w:pPr>
    </w:p>
    <w:p w14:paraId="424FED7D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70"/>
        <w:gridCol w:w="1560"/>
        <w:gridCol w:w="1134"/>
      </w:tblGrid>
      <w:tr w:rsidR="006E621B" w:rsidRPr="00E24724" w14:paraId="0D7C6679" w14:textId="77777777" w:rsidTr="0049138C">
        <w:trPr>
          <w:trHeight w:val="555"/>
          <w:jc w:val="center"/>
        </w:trPr>
        <w:tc>
          <w:tcPr>
            <w:tcW w:w="708" w:type="dxa"/>
            <w:vMerge w:val="restart"/>
          </w:tcPr>
          <w:p w14:paraId="0F56A33D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Eil.</w:t>
            </w:r>
          </w:p>
          <w:p w14:paraId="09C111F0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Nr.</w:t>
            </w:r>
          </w:p>
        </w:tc>
        <w:tc>
          <w:tcPr>
            <w:tcW w:w="11370" w:type="dxa"/>
            <w:vMerge w:val="restart"/>
          </w:tcPr>
          <w:p w14:paraId="4ED9CF32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Priemonės pavadinimas</w:t>
            </w:r>
          </w:p>
        </w:tc>
        <w:tc>
          <w:tcPr>
            <w:tcW w:w="2694" w:type="dxa"/>
            <w:gridSpan w:val="2"/>
          </w:tcPr>
          <w:p w14:paraId="1FD8A5B5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Panaudotos lėšos</w:t>
            </w:r>
          </w:p>
          <w:p w14:paraId="5559DB02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  <w:p w14:paraId="7333B5CA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</w:tr>
      <w:tr w:rsidR="006E621B" w:rsidRPr="00E24724" w14:paraId="226AFE32" w14:textId="77777777" w:rsidTr="0049138C">
        <w:trPr>
          <w:trHeight w:val="555"/>
          <w:jc w:val="center"/>
        </w:trPr>
        <w:tc>
          <w:tcPr>
            <w:tcW w:w="708" w:type="dxa"/>
            <w:vMerge/>
          </w:tcPr>
          <w:p w14:paraId="7873DFE8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1370" w:type="dxa"/>
            <w:vMerge/>
          </w:tcPr>
          <w:p w14:paraId="1061D114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79C8B1C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eurais</w:t>
            </w:r>
          </w:p>
        </w:tc>
        <w:tc>
          <w:tcPr>
            <w:tcW w:w="1134" w:type="dxa"/>
          </w:tcPr>
          <w:p w14:paraId="5B9184DE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proc. nuo KP</w:t>
            </w:r>
          </w:p>
        </w:tc>
      </w:tr>
      <w:tr w:rsidR="006E621B" w:rsidRPr="00E24724" w14:paraId="639DE5B7" w14:textId="77777777" w:rsidTr="0049138C">
        <w:trPr>
          <w:trHeight w:val="1336"/>
          <w:jc w:val="center"/>
        </w:trPr>
        <w:tc>
          <w:tcPr>
            <w:tcW w:w="708" w:type="dxa"/>
          </w:tcPr>
          <w:p w14:paraId="7DA69A1A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1.</w:t>
            </w:r>
          </w:p>
        </w:tc>
        <w:tc>
          <w:tcPr>
            <w:tcW w:w="11370" w:type="dxa"/>
          </w:tcPr>
          <w:p w14:paraId="01BED680" w14:textId="7D36341F" w:rsidR="006E621B" w:rsidRPr="00E24724" w:rsidRDefault="006E621B" w:rsidP="00507877">
            <w:pPr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inovatyvių žemės ūkio objektų lankymo išlaidoms padengti, kitiems verslumą ugdantiems renginiams ir priemonėms organizuoti,  išvykoms į mokymus, parodas, muges apmokėti, rajono žemdirbių pagerbimo šventėms organizuoti, padengti dalyvavimo respublikiniuose žemdirbių renginiuose išlaidoms, dalyvių skatinamiesiems prizams;                                               </w:t>
            </w:r>
          </w:p>
        </w:tc>
        <w:tc>
          <w:tcPr>
            <w:tcW w:w="1560" w:type="dxa"/>
          </w:tcPr>
          <w:p w14:paraId="538CAC2D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56B61EE6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23CC549E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70D6FCEC" w14:textId="5C164D2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5 146,53</w:t>
            </w:r>
          </w:p>
        </w:tc>
        <w:tc>
          <w:tcPr>
            <w:tcW w:w="1134" w:type="dxa"/>
          </w:tcPr>
          <w:p w14:paraId="02B1ED8A" w14:textId="77777777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</w:p>
          <w:p w14:paraId="7EF267B9" w14:textId="77777777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</w:p>
          <w:p w14:paraId="348224F0" w14:textId="5712D60A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  <w:r>
              <w:t>4,30</w:t>
            </w:r>
          </w:p>
        </w:tc>
      </w:tr>
      <w:tr w:rsidR="006E621B" w:rsidRPr="00E24724" w14:paraId="22528528" w14:textId="77777777" w:rsidTr="0049138C">
        <w:trPr>
          <w:trHeight w:val="555"/>
          <w:jc w:val="center"/>
        </w:trPr>
        <w:tc>
          <w:tcPr>
            <w:tcW w:w="708" w:type="dxa"/>
          </w:tcPr>
          <w:p w14:paraId="3B82916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2.</w:t>
            </w:r>
          </w:p>
        </w:tc>
        <w:tc>
          <w:tcPr>
            <w:tcW w:w="11370" w:type="dxa"/>
          </w:tcPr>
          <w:p w14:paraId="1B10A97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1560" w:type="dxa"/>
          </w:tcPr>
          <w:p w14:paraId="1944A6C4" w14:textId="73D096F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9BE7B0D" w14:textId="76A9B7F0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E621B" w:rsidRPr="00E24724" w14:paraId="75CD5AD3" w14:textId="77777777" w:rsidTr="0049138C">
        <w:trPr>
          <w:trHeight w:val="555"/>
          <w:jc w:val="center"/>
        </w:trPr>
        <w:tc>
          <w:tcPr>
            <w:tcW w:w="708" w:type="dxa"/>
          </w:tcPr>
          <w:p w14:paraId="52CB161D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3.</w:t>
            </w:r>
          </w:p>
        </w:tc>
        <w:tc>
          <w:tcPr>
            <w:tcW w:w="11370" w:type="dxa"/>
          </w:tcPr>
          <w:p w14:paraId="541C346B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1560" w:type="dxa"/>
          </w:tcPr>
          <w:p w14:paraId="6A27BE58" w14:textId="2497F40A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870,00</w:t>
            </w:r>
          </w:p>
        </w:tc>
        <w:tc>
          <w:tcPr>
            <w:tcW w:w="1134" w:type="dxa"/>
          </w:tcPr>
          <w:p w14:paraId="11BE186D" w14:textId="2F284A06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  <w:r>
              <w:rPr>
                <w:bCs/>
              </w:rPr>
              <w:t>,73</w:t>
            </w:r>
          </w:p>
        </w:tc>
      </w:tr>
      <w:tr w:rsidR="006E621B" w:rsidRPr="00E24724" w14:paraId="35971254" w14:textId="77777777" w:rsidTr="0049138C">
        <w:trPr>
          <w:trHeight w:val="555"/>
          <w:jc w:val="center"/>
        </w:trPr>
        <w:tc>
          <w:tcPr>
            <w:tcW w:w="708" w:type="dxa"/>
          </w:tcPr>
          <w:p w14:paraId="622249F6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4.</w:t>
            </w:r>
          </w:p>
        </w:tc>
        <w:tc>
          <w:tcPr>
            <w:tcW w:w="11370" w:type="dxa"/>
          </w:tcPr>
          <w:p w14:paraId="587C3F34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 Rokiškio rajono ūkininkų asociacijų komunalinių patarnavimų ir patalpų nuomos išlaidoms pagal KP komisijos patvirtintą sąmatą padengti;</w:t>
            </w:r>
          </w:p>
        </w:tc>
        <w:tc>
          <w:tcPr>
            <w:tcW w:w="1560" w:type="dxa"/>
          </w:tcPr>
          <w:p w14:paraId="375E7F1D" w14:textId="2224FE0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</w:t>
            </w:r>
            <w:r>
              <w:rPr>
                <w:bCs/>
              </w:rPr>
              <w:t> 741,52</w:t>
            </w:r>
          </w:p>
        </w:tc>
        <w:tc>
          <w:tcPr>
            <w:tcW w:w="1134" w:type="dxa"/>
          </w:tcPr>
          <w:p w14:paraId="3F3F58BF" w14:textId="7E07F339" w:rsidR="006E621B" w:rsidRPr="00E24724" w:rsidRDefault="006E621B" w:rsidP="006E621B">
            <w:pPr>
              <w:jc w:val="right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2,28</w:t>
            </w:r>
          </w:p>
        </w:tc>
      </w:tr>
      <w:tr w:rsidR="006E621B" w:rsidRPr="00E24724" w14:paraId="6B76F8C5" w14:textId="77777777" w:rsidTr="0049138C">
        <w:trPr>
          <w:trHeight w:val="555"/>
          <w:jc w:val="center"/>
        </w:trPr>
        <w:tc>
          <w:tcPr>
            <w:tcW w:w="708" w:type="dxa"/>
          </w:tcPr>
          <w:p w14:paraId="7FA6FFBF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5.</w:t>
            </w:r>
          </w:p>
        </w:tc>
        <w:tc>
          <w:tcPr>
            <w:tcW w:w="11370" w:type="dxa"/>
          </w:tcPr>
          <w:p w14:paraId="44AE3D6B" w14:textId="3D799AD8" w:rsidR="006E621B" w:rsidRPr="00E24724" w:rsidRDefault="006E621B" w:rsidP="00507877">
            <w:pPr>
              <w:pStyle w:val="Pagrindinistekstas"/>
              <w:jc w:val="both"/>
            </w:pPr>
            <w:r w:rsidRPr="00E24724">
              <w:t>naujai besisteigiančių, kaime veikiančių kooperatyvų ir/ar asociacijų registravimo išlaidoms, šių organizacijų įstatų, valdymo organų perregistravimui kompensuoti;</w:t>
            </w:r>
          </w:p>
        </w:tc>
        <w:tc>
          <w:tcPr>
            <w:tcW w:w="1560" w:type="dxa"/>
          </w:tcPr>
          <w:p w14:paraId="528485B8" w14:textId="257BD98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735,85</w:t>
            </w:r>
          </w:p>
        </w:tc>
        <w:tc>
          <w:tcPr>
            <w:tcW w:w="1134" w:type="dxa"/>
          </w:tcPr>
          <w:p w14:paraId="410AB67D" w14:textId="6EE80B9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0,61</w:t>
            </w:r>
          </w:p>
        </w:tc>
      </w:tr>
      <w:tr w:rsidR="006E621B" w:rsidRPr="00E24724" w14:paraId="3F552D7C" w14:textId="77777777" w:rsidTr="0049138C">
        <w:trPr>
          <w:trHeight w:val="1120"/>
          <w:jc w:val="center"/>
        </w:trPr>
        <w:tc>
          <w:tcPr>
            <w:tcW w:w="708" w:type="dxa"/>
          </w:tcPr>
          <w:p w14:paraId="47AAB826" w14:textId="77777777" w:rsidR="006E621B" w:rsidRDefault="006E621B" w:rsidP="00507877">
            <w:pPr>
              <w:pStyle w:val="Pagrindinistekstas"/>
              <w:jc w:val="both"/>
            </w:pPr>
            <w:r w:rsidRPr="00E24724">
              <w:lastRenderedPageBreak/>
              <w:t>6.</w:t>
            </w:r>
          </w:p>
          <w:p w14:paraId="46FF32C7" w14:textId="77777777" w:rsidR="006E621B" w:rsidRPr="00404BD0" w:rsidRDefault="006E621B" w:rsidP="00404BD0">
            <w:pPr>
              <w:rPr>
                <w:lang w:val="lt-LT" w:eastAsia="en-US"/>
              </w:rPr>
            </w:pPr>
          </w:p>
          <w:p w14:paraId="45C9CC59" w14:textId="77777777" w:rsidR="006E621B" w:rsidRPr="00404BD0" w:rsidRDefault="006E621B" w:rsidP="00404BD0">
            <w:pPr>
              <w:rPr>
                <w:lang w:val="lt-LT" w:eastAsia="en-US"/>
              </w:rPr>
            </w:pPr>
          </w:p>
          <w:p w14:paraId="51C405A8" w14:textId="77777777" w:rsidR="006E621B" w:rsidRDefault="006E621B" w:rsidP="00404BD0">
            <w:pPr>
              <w:rPr>
                <w:sz w:val="24"/>
                <w:szCs w:val="24"/>
                <w:lang w:val="lt-LT" w:eastAsia="en-US"/>
              </w:rPr>
            </w:pPr>
          </w:p>
          <w:p w14:paraId="426A1876" w14:textId="77777777" w:rsidR="006E621B" w:rsidRDefault="006E621B" w:rsidP="00404BD0">
            <w:pPr>
              <w:rPr>
                <w:lang w:val="lt-LT" w:eastAsia="en-US"/>
              </w:rPr>
            </w:pPr>
          </w:p>
          <w:p w14:paraId="5C57C9BD" w14:textId="77777777" w:rsidR="006E621B" w:rsidRDefault="006E621B" w:rsidP="00404BD0">
            <w:pPr>
              <w:rPr>
                <w:lang w:val="lt-LT" w:eastAsia="en-US"/>
              </w:rPr>
            </w:pPr>
          </w:p>
          <w:p w14:paraId="4E32948D" w14:textId="5E02C0C1" w:rsidR="006E621B" w:rsidRPr="00404BD0" w:rsidRDefault="006E621B" w:rsidP="00404BD0">
            <w:pPr>
              <w:rPr>
                <w:lang w:val="lt-LT" w:eastAsia="en-US"/>
              </w:rPr>
            </w:pPr>
            <w:r>
              <w:rPr>
                <w:lang w:val="lt-LT" w:eastAsia="en-US"/>
              </w:rPr>
              <w:t>7.</w:t>
            </w:r>
          </w:p>
        </w:tc>
        <w:tc>
          <w:tcPr>
            <w:tcW w:w="11370" w:type="dxa"/>
          </w:tcPr>
          <w:p w14:paraId="0F2BFE93" w14:textId="77777777" w:rsidR="006E621B" w:rsidRDefault="006E621B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  <w:p w14:paraId="082D1EBC" w14:textId="77777777" w:rsidR="006E621B" w:rsidRDefault="006E621B" w:rsidP="00507877">
            <w:pPr>
              <w:pStyle w:val="Pagrindinistekstas"/>
            </w:pPr>
          </w:p>
          <w:p w14:paraId="0579D026" w14:textId="5A32C535" w:rsidR="006E621B" w:rsidRPr="00E24724" w:rsidRDefault="006E621B" w:rsidP="00507877">
            <w:pPr>
              <w:pStyle w:val="Pagrindinistekstas"/>
            </w:pPr>
            <w:r>
              <w:t xml:space="preserve">trumpųjų maisto tiekimo grandinių pirmųjų penkių metų veiklai amortizuoti (būtinoms administracinėms veiklos išlaidoms, kurios negali būti finansuojamos iš kitų šaltinių, nenumatytoms papildomoms veiklos išlaidoms, nuostolingai veiklai kompensuoti); (nauja eilutė nuo 2023-05-25, Nr. TS-165 Rokiškio rajono savivaldybės tarybos sprendimo priėmimo, lėšos iškeltos iš 6 eilutės) </w:t>
            </w:r>
          </w:p>
        </w:tc>
        <w:tc>
          <w:tcPr>
            <w:tcW w:w="1560" w:type="dxa"/>
          </w:tcPr>
          <w:p w14:paraId="5A6C582E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</w:t>
            </w:r>
          </w:p>
          <w:p w14:paraId="078D42BB" w14:textId="77777777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77ECCCBD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18CF24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131BCF86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1820AF83" w14:textId="31A1C5D3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1 630,96</w:t>
            </w:r>
          </w:p>
        </w:tc>
        <w:tc>
          <w:tcPr>
            <w:tcW w:w="1134" w:type="dxa"/>
          </w:tcPr>
          <w:p w14:paraId="64DF9716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</w:t>
            </w:r>
          </w:p>
          <w:p w14:paraId="47FD759B" w14:textId="77777777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3D5157A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F852CDD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62894254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38F9E525" w14:textId="5B485209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1,36</w:t>
            </w:r>
          </w:p>
        </w:tc>
      </w:tr>
      <w:tr w:rsidR="006E621B" w:rsidRPr="00E24724" w14:paraId="39ED9670" w14:textId="77777777" w:rsidTr="0049138C">
        <w:trPr>
          <w:trHeight w:val="555"/>
          <w:jc w:val="center"/>
        </w:trPr>
        <w:tc>
          <w:tcPr>
            <w:tcW w:w="708" w:type="dxa"/>
          </w:tcPr>
          <w:p w14:paraId="41BED406" w14:textId="48674691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</w:t>
            </w:r>
          </w:p>
        </w:tc>
        <w:tc>
          <w:tcPr>
            <w:tcW w:w="11370" w:type="dxa"/>
          </w:tcPr>
          <w:p w14:paraId="50D8CC2F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1560" w:type="dxa"/>
          </w:tcPr>
          <w:p w14:paraId="25743BE2" w14:textId="38DD19DA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82 395,87</w:t>
            </w:r>
          </w:p>
        </w:tc>
        <w:tc>
          <w:tcPr>
            <w:tcW w:w="1134" w:type="dxa"/>
          </w:tcPr>
          <w:p w14:paraId="772A1DCC" w14:textId="69914BA5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68,66</w:t>
            </w:r>
          </w:p>
        </w:tc>
      </w:tr>
      <w:tr w:rsidR="006E621B" w:rsidRPr="00E24724" w14:paraId="582DFE6D" w14:textId="77777777" w:rsidTr="0049138C">
        <w:trPr>
          <w:trHeight w:val="555"/>
          <w:jc w:val="center"/>
        </w:trPr>
        <w:tc>
          <w:tcPr>
            <w:tcW w:w="708" w:type="dxa"/>
          </w:tcPr>
          <w:p w14:paraId="6AB10D91" w14:textId="3D828F89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.1</w:t>
            </w:r>
          </w:p>
        </w:tc>
        <w:tc>
          <w:tcPr>
            <w:tcW w:w="11370" w:type="dxa"/>
          </w:tcPr>
          <w:p w14:paraId="25626D70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1560" w:type="dxa"/>
          </w:tcPr>
          <w:p w14:paraId="2DE612F0" w14:textId="61859AD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19 999,99</w:t>
            </w:r>
          </w:p>
        </w:tc>
        <w:tc>
          <w:tcPr>
            <w:tcW w:w="1134" w:type="dxa"/>
          </w:tcPr>
          <w:p w14:paraId="6E71558E" w14:textId="6D250DF8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16,66</w:t>
            </w:r>
          </w:p>
        </w:tc>
      </w:tr>
      <w:tr w:rsidR="006E621B" w:rsidRPr="00E24724" w14:paraId="0970E456" w14:textId="77777777" w:rsidTr="0049138C">
        <w:trPr>
          <w:trHeight w:val="555"/>
          <w:jc w:val="center"/>
        </w:trPr>
        <w:tc>
          <w:tcPr>
            <w:tcW w:w="708" w:type="dxa"/>
          </w:tcPr>
          <w:p w14:paraId="77867BCD" w14:textId="17603E9D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.2.</w:t>
            </w:r>
          </w:p>
        </w:tc>
        <w:tc>
          <w:tcPr>
            <w:tcW w:w="11370" w:type="dxa"/>
          </w:tcPr>
          <w:p w14:paraId="7D48705D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1560" w:type="dxa"/>
          </w:tcPr>
          <w:p w14:paraId="560B0B43" w14:textId="00DCA2E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62 395,88</w:t>
            </w:r>
          </w:p>
        </w:tc>
        <w:tc>
          <w:tcPr>
            <w:tcW w:w="1134" w:type="dxa"/>
          </w:tcPr>
          <w:p w14:paraId="00BBDED6" w14:textId="3C4B6B54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52,00</w:t>
            </w:r>
          </w:p>
        </w:tc>
      </w:tr>
      <w:tr w:rsidR="006E621B" w:rsidRPr="00E24724" w14:paraId="6BD41631" w14:textId="77777777" w:rsidTr="0049138C">
        <w:trPr>
          <w:trHeight w:val="555"/>
          <w:jc w:val="center"/>
        </w:trPr>
        <w:tc>
          <w:tcPr>
            <w:tcW w:w="708" w:type="dxa"/>
          </w:tcPr>
          <w:p w14:paraId="4AF47B34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8.</w:t>
            </w:r>
          </w:p>
        </w:tc>
        <w:tc>
          <w:tcPr>
            <w:tcW w:w="11370" w:type="dxa"/>
          </w:tcPr>
          <w:p w14:paraId="20274A11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1560" w:type="dxa"/>
          </w:tcPr>
          <w:p w14:paraId="2B8FFDCE" w14:textId="6E8CF5D9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25 204,43</w:t>
            </w:r>
          </w:p>
        </w:tc>
        <w:tc>
          <w:tcPr>
            <w:tcW w:w="1134" w:type="dxa"/>
          </w:tcPr>
          <w:p w14:paraId="4E088C18" w14:textId="4BBD0B7E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21,00</w:t>
            </w:r>
          </w:p>
        </w:tc>
      </w:tr>
      <w:tr w:rsidR="006E621B" w:rsidRPr="00E24724" w14:paraId="4A3CF53B" w14:textId="77777777" w:rsidTr="0049138C">
        <w:trPr>
          <w:trHeight w:val="586"/>
          <w:jc w:val="center"/>
        </w:trPr>
        <w:tc>
          <w:tcPr>
            <w:tcW w:w="708" w:type="dxa"/>
          </w:tcPr>
          <w:p w14:paraId="4264519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Iš viso:</w:t>
            </w:r>
          </w:p>
        </w:tc>
        <w:tc>
          <w:tcPr>
            <w:tcW w:w="11370" w:type="dxa"/>
          </w:tcPr>
          <w:p w14:paraId="1D9A9DAB" w14:textId="77777777" w:rsidR="006E621B" w:rsidRPr="00E24724" w:rsidRDefault="006E621B" w:rsidP="00507877">
            <w:pPr>
              <w:pStyle w:val="Pagrindinistekstas"/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319035A8" w14:textId="5E9AC23C" w:rsidR="006E621B" w:rsidRPr="00E24724" w:rsidRDefault="006E621B" w:rsidP="006E621B">
            <w:pPr>
              <w:pStyle w:val="Pagrindinisteksta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118 725,16</w:t>
            </w:r>
          </w:p>
        </w:tc>
        <w:tc>
          <w:tcPr>
            <w:tcW w:w="1134" w:type="dxa"/>
          </w:tcPr>
          <w:p w14:paraId="046749BF" w14:textId="0004DD16" w:rsidR="006E621B" w:rsidRPr="00E24724" w:rsidRDefault="006E621B" w:rsidP="006E621B">
            <w:pPr>
              <w:pStyle w:val="Pagrindinisteksta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98,94</w:t>
            </w:r>
          </w:p>
        </w:tc>
      </w:tr>
    </w:tbl>
    <w:p w14:paraId="544FCB1D" w14:textId="77777777" w:rsidR="00CA4C1E" w:rsidRPr="00E24724" w:rsidRDefault="00CA4C1E" w:rsidP="0049138C">
      <w:pPr>
        <w:rPr>
          <w:b/>
          <w:sz w:val="24"/>
          <w:szCs w:val="24"/>
          <w:lang w:val="lt-LT"/>
        </w:rPr>
      </w:pPr>
    </w:p>
    <w:p w14:paraId="143000E3" w14:textId="57DC83FB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  <w:r w:rsidRPr="00E24724">
        <w:rPr>
          <w:b/>
          <w:sz w:val="24"/>
          <w:szCs w:val="24"/>
          <w:lang w:val="lt-LT"/>
        </w:rPr>
        <w:t>DETALI 202</w:t>
      </w:r>
      <w:r w:rsidR="001736BE">
        <w:rPr>
          <w:b/>
          <w:sz w:val="24"/>
          <w:szCs w:val="24"/>
          <w:lang w:val="lt-LT"/>
        </w:rPr>
        <w:t>3</w:t>
      </w:r>
      <w:r w:rsidRPr="00E24724">
        <w:rPr>
          <w:b/>
          <w:sz w:val="24"/>
          <w:szCs w:val="24"/>
          <w:lang w:val="lt-LT"/>
        </w:rPr>
        <w:t xml:space="preserve"> METŲ KAIMO PROGRAMOS ATASKAITA</w:t>
      </w:r>
    </w:p>
    <w:p w14:paraId="109EC6C8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5561"/>
        <w:gridCol w:w="7002"/>
        <w:gridCol w:w="1296"/>
      </w:tblGrid>
      <w:tr w:rsidR="00CA4C1E" w:rsidRPr="00E24724" w14:paraId="0546FA99" w14:textId="77777777" w:rsidTr="0049138C">
        <w:trPr>
          <w:jc w:val="center"/>
        </w:trPr>
        <w:tc>
          <w:tcPr>
            <w:tcW w:w="704" w:type="dxa"/>
          </w:tcPr>
          <w:p w14:paraId="363C909E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657" w:type="dxa"/>
          </w:tcPr>
          <w:p w14:paraId="4C84CC73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7135" w:type="dxa"/>
          </w:tcPr>
          <w:p w14:paraId="1DA42375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Išlaidos</w:t>
            </w:r>
          </w:p>
        </w:tc>
        <w:tc>
          <w:tcPr>
            <w:tcW w:w="1240" w:type="dxa"/>
          </w:tcPr>
          <w:p w14:paraId="3CF10483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Suma, Eur.</w:t>
            </w:r>
          </w:p>
        </w:tc>
      </w:tr>
      <w:tr w:rsidR="00CA4C1E" w:rsidRPr="00E24724" w14:paraId="31C468F9" w14:textId="77777777" w:rsidTr="0049138C">
        <w:trPr>
          <w:jc w:val="center"/>
        </w:trPr>
        <w:tc>
          <w:tcPr>
            <w:tcW w:w="704" w:type="dxa"/>
          </w:tcPr>
          <w:p w14:paraId="0F086D5E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657" w:type="dxa"/>
          </w:tcPr>
          <w:p w14:paraId="515861F3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inovatyvių žemės ūkio objektų lankymo išlaidoms padengti, kitiems verslumą ugdantiems renginiams ir priemonėms organizuoti,  išvykoms į mokymus, parodas, muges apmokėti, rajono žemdirbių pagerbimo šventėms organizuoti, padengti dalyvavimo respublikiniuose žemdirbių renginiuose išlaidoms, dalyvių skatinamiesiems prizams;                                                  </w:t>
            </w:r>
          </w:p>
          <w:p w14:paraId="46B286F6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135" w:type="dxa"/>
          </w:tcPr>
          <w:p w14:paraId="49F0637C" w14:textId="331CE780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E24724">
              <w:rPr>
                <w:sz w:val="24"/>
                <w:szCs w:val="24"/>
                <w:lang w:val="lt-LT"/>
              </w:rPr>
              <w:t>Konkurso ,,</w:t>
            </w:r>
            <w:r w:rsidR="00F926DB" w:rsidRPr="00E24724">
              <w:rPr>
                <w:sz w:val="24"/>
                <w:szCs w:val="24"/>
                <w:lang w:val="lt-LT"/>
              </w:rPr>
              <w:t>Pažangiausi metų ūkiai</w:t>
            </w:r>
            <w:r w:rsidRPr="00E24724">
              <w:rPr>
                <w:sz w:val="24"/>
                <w:szCs w:val="24"/>
                <w:lang w:val="lt-LT"/>
              </w:rPr>
              <w:t xml:space="preserve"> – 202</w:t>
            </w:r>
            <w:r w:rsidR="00921397">
              <w:rPr>
                <w:sz w:val="24"/>
                <w:szCs w:val="24"/>
                <w:lang w:val="lt-LT"/>
              </w:rPr>
              <w:t>3</w:t>
            </w:r>
            <w:r w:rsidRPr="00E24724">
              <w:rPr>
                <w:sz w:val="24"/>
                <w:szCs w:val="24"/>
                <w:lang w:val="lt-LT"/>
              </w:rPr>
              <w:t>“ šventės organizavim</w:t>
            </w:r>
            <w:r w:rsidR="00435652">
              <w:rPr>
                <w:sz w:val="24"/>
                <w:szCs w:val="24"/>
                <w:lang w:val="lt-LT"/>
              </w:rPr>
              <w:t>o išlaidų kompensavimas</w:t>
            </w:r>
            <w:r w:rsidRPr="00E24724">
              <w:rPr>
                <w:sz w:val="24"/>
                <w:szCs w:val="24"/>
                <w:lang w:val="lt-LT"/>
              </w:rPr>
              <w:t>.</w:t>
            </w:r>
          </w:p>
          <w:p w14:paraId="40D4B3EA" w14:textId="77777777" w:rsidR="00921397" w:rsidRDefault="00921397" w:rsidP="00921397">
            <w:pPr>
              <w:rPr>
                <w:sz w:val="24"/>
                <w:szCs w:val="24"/>
                <w:lang w:val="lt-LT"/>
              </w:rPr>
            </w:pPr>
          </w:p>
          <w:p w14:paraId="3B06DC7E" w14:textId="469A7BCC" w:rsidR="00921397" w:rsidRDefault="007238E1" w:rsidP="00921397">
            <w:pPr>
              <w:jc w:val="both"/>
            </w:pPr>
            <w:r>
              <w:rPr>
                <w:sz w:val="24"/>
                <w:szCs w:val="24"/>
              </w:rPr>
              <w:t>T</w:t>
            </w:r>
            <w:r w:rsidR="006E621B" w:rsidRPr="007B2797">
              <w:rPr>
                <w:sz w:val="24"/>
                <w:szCs w:val="24"/>
              </w:rPr>
              <w:t>ransporto išlaidų kompensavimas</w:t>
            </w:r>
            <w:r w:rsidR="006E621B">
              <w:rPr>
                <w:sz w:val="24"/>
                <w:szCs w:val="24"/>
              </w:rPr>
              <w:t xml:space="preserve"> Rokiškio rajono ūkininkų sąjungos ūkininkių </w:t>
            </w:r>
            <w:r w:rsidR="00435652">
              <w:rPr>
                <w:sz w:val="24"/>
                <w:szCs w:val="24"/>
              </w:rPr>
              <w:t xml:space="preserve">grupės išvykai </w:t>
            </w:r>
            <w:r w:rsidR="00921397" w:rsidRPr="007B2797">
              <w:rPr>
                <w:sz w:val="24"/>
                <w:szCs w:val="24"/>
              </w:rPr>
              <w:t xml:space="preserve">į </w:t>
            </w:r>
            <w:r w:rsidR="006E621B">
              <w:rPr>
                <w:sz w:val="24"/>
                <w:szCs w:val="24"/>
              </w:rPr>
              <w:t xml:space="preserve">regioninį Ūkininkių sąjungos </w:t>
            </w:r>
            <w:r w:rsidR="00DE2987">
              <w:rPr>
                <w:sz w:val="24"/>
                <w:szCs w:val="24"/>
              </w:rPr>
              <w:t xml:space="preserve">ataskaitinį </w:t>
            </w:r>
            <w:r w:rsidR="006E621B">
              <w:rPr>
                <w:sz w:val="24"/>
                <w:szCs w:val="24"/>
              </w:rPr>
              <w:t>renginį</w:t>
            </w:r>
            <w:r w:rsidR="00921397" w:rsidRPr="007B2797">
              <w:rPr>
                <w:sz w:val="24"/>
                <w:szCs w:val="24"/>
              </w:rPr>
              <w:t xml:space="preserve"> Biržų rajone</w:t>
            </w:r>
            <w:r w:rsidR="00921397">
              <w:t>.</w:t>
            </w:r>
          </w:p>
          <w:p w14:paraId="262556E7" w14:textId="1145A85D" w:rsidR="00921397" w:rsidRPr="00921397" w:rsidRDefault="00921397" w:rsidP="0092139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>Iš viso:</w:t>
            </w:r>
          </w:p>
        </w:tc>
        <w:tc>
          <w:tcPr>
            <w:tcW w:w="1240" w:type="dxa"/>
          </w:tcPr>
          <w:p w14:paraId="4027330D" w14:textId="0CB93A26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5</w:t>
            </w:r>
            <w:r w:rsidR="00CA4C1E" w:rsidRPr="00982C8C">
              <w:rPr>
                <w:bCs/>
                <w:sz w:val="24"/>
                <w:szCs w:val="24"/>
                <w:lang w:val="lt-LT"/>
              </w:rPr>
              <w:t> 000,00</w:t>
            </w:r>
          </w:p>
          <w:p w14:paraId="7D0ABA8F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7330781F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32E6995D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146,53</w:t>
            </w:r>
          </w:p>
          <w:p w14:paraId="489F69FB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7D8F9FCC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313E2A1F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6AE398F9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0183A102" w14:textId="38707973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5</w:t>
            </w:r>
            <w:r w:rsidR="00435652" w:rsidRPr="00982C8C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982C8C">
              <w:rPr>
                <w:bCs/>
                <w:sz w:val="24"/>
                <w:szCs w:val="24"/>
                <w:lang w:val="lt-LT"/>
              </w:rPr>
              <w:t>146,53</w:t>
            </w:r>
          </w:p>
        </w:tc>
      </w:tr>
      <w:tr w:rsidR="00CA4C1E" w:rsidRPr="00E24724" w14:paraId="14F903BC" w14:textId="77777777" w:rsidTr="0049138C">
        <w:trPr>
          <w:jc w:val="center"/>
        </w:trPr>
        <w:tc>
          <w:tcPr>
            <w:tcW w:w="704" w:type="dxa"/>
          </w:tcPr>
          <w:p w14:paraId="56FBE87B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2</w:t>
            </w:r>
            <w:r w:rsidRPr="00E24724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19129BB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7135" w:type="dxa"/>
          </w:tcPr>
          <w:p w14:paraId="12353AAD" w14:textId="53175C21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1F18C98E" w14:textId="3533AFC0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0</w:t>
            </w:r>
          </w:p>
        </w:tc>
      </w:tr>
      <w:tr w:rsidR="00CA4C1E" w:rsidRPr="00E24724" w14:paraId="5F79D160" w14:textId="77777777" w:rsidTr="0049138C">
        <w:trPr>
          <w:trHeight w:val="1218"/>
          <w:jc w:val="center"/>
        </w:trPr>
        <w:tc>
          <w:tcPr>
            <w:tcW w:w="704" w:type="dxa"/>
          </w:tcPr>
          <w:p w14:paraId="30111126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5657" w:type="dxa"/>
          </w:tcPr>
          <w:p w14:paraId="19CBAE15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7135" w:type="dxa"/>
          </w:tcPr>
          <w:p w14:paraId="3D6D04D7" w14:textId="6F251151" w:rsidR="00CA4C1E" w:rsidRPr="00E24724" w:rsidRDefault="00921397" w:rsidP="0050787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 ūkininkui </w:t>
            </w:r>
            <w:r w:rsidR="00435652">
              <w:rPr>
                <w:sz w:val="24"/>
                <w:szCs w:val="24"/>
                <w:lang w:val="lt-LT"/>
              </w:rPr>
              <w:t xml:space="preserve">išmokėta </w:t>
            </w:r>
            <w:r>
              <w:rPr>
                <w:sz w:val="24"/>
                <w:szCs w:val="24"/>
                <w:lang w:val="lt-LT"/>
              </w:rPr>
              <w:t>kompensuota gaisro nuostolių</w:t>
            </w:r>
            <w:r w:rsidR="00435652">
              <w:rPr>
                <w:sz w:val="24"/>
                <w:szCs w:val="24"/>
                <w:lang w:val="lt-LT"/>
              </w:rPr>
              <w:t xml:space="preserve"> kompensacija</w:t>
            </w:r>
          </w:p>
        </w:tc>
        <w:tc>
          <w:tcPr>
            <w:tcW w:w="1240" w:type="dxa"/>
          </w:tcPr>
          <w:p w14:paraId="2CAC4BB3" w14:textId="77777777" w:rsidR="00CA4C1E" w:rsidRPr="00982C8C" w:rsidRDefault="00CA4C1E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1A5F923C" w14:textId="51B1599A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870,00</w:t>
            </w:r>
          </w:p>
        </w:tc>
      </w:tr>
      <w:tr w:rsidR="00CA4C1E" w:rsidRPr="00E24724" w14:paraId="4F269FA5" w14:textId="77777777" w:rsidTr="0049138C">
        <w:trPr>
          <w:jc w:val="center"/>
        </w:trPr>
        <w:tc>
          <w:tcPr>
            <w:tcW w:w="704" w:type="dxa"/>
          </w:tcPr>
          <w:p w14:paraId="5F6237F3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657" w:type="dxa"/>
          </w:tcPr>
          <w:p w14:paraId="56094A94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 Rokiškio rajono asociacijų komunalinių patarnavimų ir patalpų nuomos išlaidoms pagal KP komisijos patvirtintą sąmatą padengti;</w:t>
            </w:r>
          </w:p>
        </w:tc>
        <w:tc>
          <w:tcPr>
            <w:tcW w:w="7135" w:type="dxa"/>
          </w:tcPr>
          <w:p w14:paraId="3D7EFFC9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Rokiškio rajono </w:t>
            </w:r>
            <w:r w:rsidR="00E35121" w:rsidRPr="00E24724">
              <w:rPr>
                <w:sz w:val="24"/>
                <w:szCs w:val="24"/>
                <w:lang w:val="lt-LT"/>
              </w:rPr>
              <w:t>ū</w:t>
            </w:r>
            <w:r w:rsidRPr="00E24724">
              <w:rPr>
                <w:sz w:val="24"/>
                <w:szCs w:val="24"/>
                <w:lang w:val="lt-LT"/>
              </w:rPr>
              <w:t>kininkų sąjungos komunalinių patarnavimų ir patalpų nuomos išlaid</w:t>
            </w:r>
            <w:r w:rsidR="00E35121" w:rsidRPr="00E24724">
              <w:rPr>
                <w:sz w:val="24"/>
                <w:szCs w:val="24"/>
                <w:lang w:val="lt-LT"/>
              </w:rPr>
              <w:t>ų kompensavimas</w:t>
            </w:r>
            <w:r w:rsidRPr="00E24724">
              <w:rPr>
                <w:sz w:val="24"/>
                <w:szCs w:val="24"/>
                <w:lang w:val="lt-LT"/>
              </w:rPr>
              <w:t>.</w:t>
            </w:r>
          </w:p>
          <w:p w14:paraId="4C278AB3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2400D636" w14:textId="273DB60E" w:rsidR="00CA4C1E" w:rsidRPr="00982C8C" w:rsidRDefault="00CA4C1E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2 </w:t>
            </w:r>
            <w:r w:rsidR="00921397" w:rsidRPr="00982C8C">
              <w:rPr>
                <w:bCs/>
                <w:sz w:val="24"/>
                <w:szCs w:val="24"/>
                <w:lang w:val="lt-LT"/>
              </w:rPr>
              <w:t>741</w:t>
            </w:r>
            <w:r w:rsidRPr="00982C8C">
              <w:rPr>
                <w:bCs/>
                <w:sz w:val="24"/>
                <w:szCs w:val="24"/>
                <w:lang w:val="lt-LT"/>
              </w:rPr>
              <w:t>,</w:t>
            </w:r>
            <w:r w:rsidR="00921397" w:rsidRPr="00982C8C">
              <w:rPr>
                <w:bCs/>
                <w:sz w:val="24"/>
                <w:szCs w:val="24"/>
                <w:lang w:val="lt-LT"/>
              </w:rPr>
              <w:t>52</w:t>
            </w:r>
          </w:p>
        </w:tc>
      </w:tr>
      <w:tr w:rsidR="00CA4C1E" w:rsidRPr="00E24724" w14:paraId="57432B10" w14:textId="77777777" w:rsidTr="0049138C">
        <w:trPr>
          <w:jc w:val="center"/>
        </w:trPr>
        <w:tc>
          <w:tcPr>
            <w:tcW w:w="704" w:type="dxa"/>
          </w:tcPr>
          <w:p w14:paraId="17C76877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5657" w:type="dxa"/>
          </w:tcPr>
          <w:p w14:paraId="57FF69CE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naujai besisteigiančių, kaime veikiančių kooperatyvų ir / ar asociacijų registravimo išlaidoms, šių organizacijų įstatų, valdymo organų perregistravimui kompensuoti;</w:t>
            </w:r>
          </w:p>
        </w:tc>
        <w:tc>
          <w:tcPr>
            <w:tcW w:w="7135" w:type="dxa"/>
          </w:tcPr>
          <w:p w14:paraId="7C8AF619" w14:textId="41BD3B46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Kompensuota </w:t>
            </w:r>
            <w:r w:rsidR="00921397">
              <w:rPr>
                <w:sz w:val="24"/>
                <w:szCs w:val="24"/>
                <w:lang w:val="lt-LT"/>
              </w:rPr>
              <w:t>dviem</w:t>
            </w:r>
            <w:r w:rsidR="00435652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bendruomeninėm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organizacijom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už duomenų keitimą </w:t>
            </w:r>
            <w:r w:rsidR="00435652">
              <w:rPr>
                <w:sz w:val="24"/>
                <w:szCs w:val="24"/>
                <w:lang w:val="lt-LT"/>
              </w:rPr>
              <w:t>R</w:t>
            </w:r>
            <w:r w:rsidRPr="00E24724">
              <w:rPr>
                <w:sz w:val="24"/>
                <w:szCs w:val="24"/>
                <w:lang w:val="lt-LT"/>
              </w:rPr>
              <w:t>egistrų centre</w:t>
            </w:r>
            <w:r w:rsidR="00921397">
              <w:rPr>
                <w:sz w:val="24"/>
                <w:szCs w:val="24"/>
                <w:lang w:val="lt-LT"/>
              </w:rPr>
              <w:t xml:space="preserve"> ir vieno kooperatyvo įregistravimo išlaidų kompensavimas. </w:t>
            </w:r>
          </w:p>
        </w:tc>
        <w:tc>
          <w:tcPr>
            <w:tcW w:w="1240" w:type="dxa"/>
          </w:tcPr>
          <w:p w14:paraId="7A101D5B" w14:textId="55E2D1C1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735,85</w:t>
            </w:r>
          </w:p>
        </w:tc>
      </w:tr>
      <w:tr w:rsidR="00CA4C1E" w:rsidRPr="00E24724" w14:paraId="63B84D28" w14:textId="77777777" w:rsidTr="0049138C">
        <w:trPr>
          <w:trHeight w:val="1320"/>
          <w:jc w:val="center"/>
        </w:trPr>
        <w:tc>
          <w:tcPr>
            <w:tcW w:w="704" w:type="dxa"/>
          </w:tcPr>
          <w:p w14:paraId="46D7DA28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5657" w:type="dxa"/>
          </w:tcPr>
          <w:p w14:paraId="5DCBD78E" w14:textId="42A11395" w:rsidR="00CA4C1E" w:rsidRPr="00E24724" w:rsidRDefault="00CA4C1E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</w:tc>
        <w:tc>
          <w:tcPr>
            <w:tcW w:w="7135" w:type="dxa"/>
          </w:tcPr>
          <w:p w14:paraId="13D3CBE7" w14:textId="77777777" w:rsidR="00CA4C1E" w:rsidRPr="00E24724" w:rsidRDefault="00CA4C1E" w:rsidP="0092139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3F420B4D" w14:textId="00CDD77F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0</w:t>
            </w:r>
          </w:p>
        </w:tc>
      </w:tr>
      <w:tr w:rsidR="00E469BA" w:rsidRPr="00E24724" w14:paraId="7A585CB1" w14:textId="77777777" w:rsidTr="0049138C">
        <w:trPr>
          <w:trHeight w:val="330"/>
          <w:jc w:val="center"/>
        </w:trPr>
        <w:tc>
          <w:tcPr>
            <w:tcW w:w="704" w:type="dxa"/>
          </w:tcPr>
          <w:p w14:paraId="02C60864" w14:textId="18B8D92C" w:rsidR="00E469BA" w:rsidRPr="00E24724" w:rsidRDefault="00E469BA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5657" w:type="dxa"/>
          </w:tcPr>
          <w:p w14:paraId="023C91D0" w14:textId="06EC70CB" w:rsidR="00E469BA" w:rsidRPr="00E24724" w:rsidRDefault="00E469BA" w:rsidP="00507877">
            <w:pPr>
              <w:pStyle w:val="Pagrindinistekstas"/>
            </w:pPr>
            <w:r>
              <w:t>trumpųjų maisto tiekimo grandinių pirmųjų penkių metų veiklai amortizuoti (būtinoms administracinėms veiklos išlaidoms, kurios negali būti finansuojamos iš kitų šaltinių, nenumatytoms papildomoms veiklos išlaidoms, nuostolingai veiklai kompensuoti); (nauja eilutė nuo 2023-05-25, Nr. TS-165 Rokiškio rajono savivaldybės tarybos sprendimo priėmimo, lėšos iškeltos iš 6 eilutės)</w:t>
            </w:r>
          </w:p>
        </w:tc>
        <w:tc>
          <w:tcPr>
            <w:tcW w:w="7135" w:type="dxa"/>
          </w:tcPr>
          <w:p w14:paraId="68B295DB" w14:textId="5C371833" w:rsidR="00E469BA" w:rsidRPr="00E24724" w:rsidRDefault="00D6189B" w:rsidP="0092139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Kooperatyvui ,,Ūkio ratas“ kompensuota už įsigytas kanceliarines priemones, telefonus ir kompiuterinę įrangą.</w:t>
            </w:r>
          </w:p>
        </w:tc>
        <w:tc>
          <w:tcPr>
            <w:tcW w:w="1240" w:type="dxa"/>
          </w:tcPr>
          <w:p w14:paraId="262BD35D" w14:textId="1397B736" w:rsidR="00E469BA" w:rsidRPr="00982C8C" w:rsidRDefault="00D6189B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</w:t>
            </w:r>
            <w:r w:rsidR="00435652" w:rsidRPr="00982C8C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982C8C">
              <w:rPr>
                <w:bCs/>
                <w:sz w:val="24"/>
                <w:szCs w:val="24"/>
                <w:lang w:val="lt-LT"/>
              </w:rPr>
              <w:t>630,96</w:t>
            </w:r>
          </w:p>
        </w:tc>
      </w:tr>
      <w:tr w:rsidR="00CA4C1E" w:rsidRPr="00E24724" w14:paraId="558EA79B" w14:textId="77777777" w:rsidTr="0049138C">
        <w:trPr>
          <w:trHeight w:val="562"/>
          <w:jc w:val="center"/>
        </w:trPr>
        <w:tc>
          <w:tcPr>
            <w:tcW w:w="704" w:type="dxa"/>
          </w:tcPr>
          <w:p w14:paraId="3074DC9C" w14:textId="6FA65FDD" w:rsidR="00CA4C1E" w:rsidRPr="00E24724" w:rsidRDefault="00966FFB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0E4027C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7135" w:type="dxa"/>
          </w:tcPr>
          <w:p w14:paraId="4E431F10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000B88E0" w14:textId="330E7E55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82 395,87</w:t>
            </w:r>
          </w:p>
        </w:tc>
      </w:tr>
      <w:tr w:rsidR="00CA4C1E" w:rsidRPr="00E24724" w14:paraId="3BD8CC47" w14:textId="77777777" w:rsidTr="0049138C">
        <w:trPr>
          <w:jc w:val="center"/>
        </w:trPr>
        <w:tc>
          <w:tcPr>
            <w:tcW w:w="704" w:type="dxa"/>
          </w:tcPr>
          <w:p w14:paraId="5CC0C1EB" w14:textId="492FC8E5" w:rsidR="00CA4C1E" w:rsidRPr="00E24724" w:rsidRDefault="00352B1E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.1.</w:t>
            </w:r>
          </w:p>
        </w:tc>
        <w:tc>
          <w:tcPr>
            <w:tcW w:w="5657" w:type="dxa"/>
          </w:tcPr>
          <w:p w14:paraId="69DC4F54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7135" w:type="dxa"/>
          </w:tcPr>
          <w:p w14:paraId="43DC2621" w14:textId="679A9AAB" w:rsidR="00CA4C1E" w:rsidRPr="00E24724" w:rsidRDefault="00435652" w:rsidP="00F926D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Apmokėta už avarini</w:t>
            </w:r>
            <w:r w:rsidR="00DE2987">
              <w:rPr>
                <w:sz w:val="24"/>
                <w:szCs w:val="24"/>
                <w:lang w:val="lt-LT"/>
              </w:rPr>
              <w:t>ų</w:t>
            </w:r>
            <w:r>
              <w:rPr>
                <w:sz w:val="24"/>
                <w:szCs w:val="24"/>
                <w:lang w:val="lt-LT"/>
              </w:rPr>
              <w:t xml:space="preserve"> m</w:t>
            </w:r>
            <w:r w:rsidR="00C91B05" w:rsidRPr="00E24724">
              <w:rPr>
                <w:sz w:val="24"/>
                <w:szCs w:val="24"/>
                <w:lang w:val="lt-LT"/>
              </w:rPr>
              <w:t>elioracijos statinių</w:t>
            </w:r>
            <w:r w:rsidR="00352B1E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gedimų </w:t>
            </w:r>
            <w:r w:rsidR="00352B1E">
              <w:rPr>
                <w:sz w:val="24"/>
                <w:szCs w:val="24"/>
                <w:lang w:val="lt-LT"/>
              </w:rPr>
              <w:t xml:space="preserve"> </w:t>
            </w:r>
            <w:r w:rsidR="00DE2987">
              <w:rPr>
                <w:sz w:val="24"/>
                <w:szCs w:val="24"/>
                <w:lang w:val="lt-LT"/>
              </w:rPr>
              <w:t xml:space="preserve">šalinimo </w:t>
            </w:r>
            <w:r w:rsidR="00352B1E">
              <w:rPr>
                <w:sz w:val="24"/>
                <w:szCs w:val="24"/>
                <w:lang w:val="lt-LT"/>
              </w:rPr>
              <w:t>darb</w:t>
            </w:r>
            <w:r>
              <w:rPr>
                <w:sz w:val="24"/>
                <w:szCs w:val="24"/>
                <w:lang w:val="lt-LT"/>
              </w:rPr>
              <w:t>us</w:t>
            </w:r>
            <w:r w:rsidR="00352B1E">
              <w:rPr>
                <w:sz w:val="24"/>
                <w:szCs w:val="24"/>
                <w:lang w:val="lt-LT"/>
              </w:rPr>
              <w:t xml:space="preserve"> Stasiūnų </w:t>
            </w:r>
            <w:r>
              <w:rPr>
                <w:sz w:val="24"/>
                <w:szCs w:val="24"/>
                <w:lang w:val="lt-LT"/>
              </w:rPr>
              <w:t xml:space="preserve">k. Obelių sen. </w:t>
            </w:r>
            <w:r w:rsidR="00352B1E">
              <w:rPr>
                <w:sz w:val="24"/>
                <w:szCs w:val="24"/>
                <w:lang w:val="lt-LT"/>
              </w:rPr>
              <w:t>ir Sėlynės k.</w:t>
            </w:r>
            <w:r>
              <w:rPr>
                <w:sz w:val="24"/>
                <w:szCs w:val="24"/>
                <w:lang w:val="lt-LT"/>
              </w:rPr>
              <w:t xml:space="preserve"> Rokiškio k. sen.</w:t>
            </w:r>
          </w:p>
        </w:tc>
        <w:tc>
          <w:tcPr>
            <w:tcW w:w="1240" w:type="dxa"/>
          </w:tcPr>
          <w:p w14:paraId="6FAF86F1" w14:textId="7D88C6A7" w:rsidR="00CA4C1E" w:rsidRPr="00982C8C" w:rsidRDefault="007E70BA" w:rsidP="00435652">
            <w:pPr>
              <w:tabs>
                <w:tab w:val="right" w:pos="992"/>
              </w:tabs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19 999,99</w:t>
            </w:r>
          </w:p>
        </w:tc>
      </w:tr>
      <w:tr w:rsidR="00CA4C1E" w:rsidRPr="00E24724" w14:paraId="00EDD5C5" w14:textId="77777777" w:rsidTr="0049138C">
        <w:trPr>
          <w:jc w:val="center"/>
        </w:trPr>
        <w:tc>
          <w:tcPr>
            <w:tcW w:w="704" w:type="dxa"/>
          </w:tcPr>
          <w:p w14:paraId="07219C09" w14:textId="71D29F29" w:rsidR="00CA4C1E" w:rsidRPr="00E24724" w:rsidRDefault="00352B1E" w:rsidP="00507877">
            <w:pPr>
              <w:tabs>
                <w:tab w:val="center" w:pos="246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.2</w:t>
            </w:r>
          </w:p>
        </w:tc>
        <w:tc>
          <w:tcPr>
            <w:tcW w:w="5657" w:type="dxa"/>
          </w:tcPr>
          <w:p w14:paraId="2F6BA963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7135" w:type="dxa"/>
          </w:tcPr>
          <w:p w14:paraId="504E0392" w14:textId="45A1ADF3" w:rsidR="00CA4C1E" w:rsidRPr="00E24724" w:rsidRDefault="007E70BA" w:rsidP="00F926D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126</w:t>
            </w:r>
            <w:r w:rsidR="00CA4C1E" w:rsidRPr="00E24724">
              <w:rPr>
                <w:sz w:val="24"/>
                <w:szCs w:val="24"/>
                <w:lang w:val="lt-LT"/>
              </w:rPr>
              <w:t xml:space="preserve"> ūkininkams kompensuota už patirtas išlaidas, šalinant melioracijos gedimus.</w:t>
            </w:r>
            <w:r w:rsidR="00F926DB" w:rsidRPr="00E24724">
              <w:rPr>
                <w:sz w:val="24"/>
                <w:szCs w:val="24"/>
                <w:lang w:val="lt-LT"/>
              </w:rPr>
              <w:t xml:space="preserve"> </w:t>
            </w:r>
            <w:r w:rsidR="00DE2987" w:rsidRPr="001F0E2F">
              <w:rPr>
                <w:sz w:val="24"/>
                <w:szCs w:val="24"/>
              </w:rPr>
              <w:t>Patys ūkininkai, tvarkydami melioracijos gedimus, investavo 72 595 Eur.</w:t>
            </w:r>
          </w:p>
        </w:tc>
        <w:tc>
          <w:tcPr>
            <w:tcW w:w="1240" w:type="dxa"/>
          </w:tcPr>
          <w:p w14:paraId="5BEBD240" w14:textId="79E20A90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62 395,88</w:t>
            </w:r>
          </w:p>
        </w:tc>
      </w:tr>
      <w:tr w:rsidR="00CA4C1E" w:rsidRPr="00E24724" w14:paraId="65C64135" w14:textId="77777777" w:rsidTr="0049138C">
        <w:trPr>
          <w:trHeight w:val="872"/>
          <w:jc w:val="center"/>
        </w:trPr>
        <w:tc>
          <w:tcPr>
            <w:tcW w:w="704" w:type="dxa"/>
          </w:tcPr>
          <w:p w14:paraId="3F2E84FD" w14:textId="4567AE4C" w:rsidR="00CA4C1E" w:rsidRPr="00E24724" w:rsidRDefault="00352B1E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9</w:t>
            </w:r>
            <w:r w:rsidR="00CA4C1E" w:rsidRPr="00E247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76B0AE02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7135" w:type="dxa"/>
          </w:tcPr>
          <w:p w14:paraId="73106EB2" w14:textId="4A51D29D" w:rsidR="00CA4C1E" w:rsidRPr="00E24724" w:rsidRDefault="007E70BA" w:rsidP="0050787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51 ūkio subjektui kompensuota už žvyrą, kuris buvo panaudotas savivaldybės vietinės reikšmės viešųjų kelių remontui</w:t>
            </w:r>
            <w:r w:rsidR="00DE2987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240" w:type="dxa"/>
          </w:tcPr>
          <w:p w14:paraId="58739920" w14:textId="3CFE90DB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25 204,43</w:t>
            </w:r>
          </w:p>
        </w:tc>
      </w:tr>
      <w:tr w:rsidR="00CA4C1E" w:rsidRPr="00E24724" w14:paraId="1417770D" w14:textId="77777777" w:rsidTr="0049138C">
        <w:trPr>
          <w:trHeight w:val="562"/>
          <w:jc w:val="center"/>
        </w:trPr>
        <w:tc>
          <w:tcPr>
            <w:tcW w:w="704" w:type="dxa"/>
          </w:tcPr>
          <w:p w14:paraId="01C06D44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657" w:type="dxa"/>
          </w:tcPr>
          <w:p w14:paraId="4E2C8977" w14:textId="77777777" w:rsidR="00CA4C1E" w:rsidRPr="00E24724" w:rsidRDefault="00292DF8" w:rsidP="00507877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14:paraId="1DA28A2E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7F9BB90F" w14:textId="47D1DF21" w:rsidR="00CA4C1E" w:rsidRPr="00982C8C" w:rsidRDefault="007E70BA" w:rsidP="00435652">
            <w:pPr>
              <w:tabs>
                <w:tab w:val="right" w:pos="991"/>
              </w:tabs>
              <w:jc w:val="right"/>
              <w:rPr>
                <w:b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ab/>
            </w:r>
            <w:r w:rsidRPr="00982C8C">
              <w:rPr>
                <w:b/>
                <w:sz w:val="24"/>
                <w:szCs w:val="24"/>
                <w:lang w:val="lt-LT"/>
              </w:rPr>
              <w:t>118 725,16</w:t>
            </w:r>
          </w:p>
        </w:tc>
      </w:tr>
    </w:tbl>
    <w:p w14:paraId="633EF846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p w14:paraId="01C78B5F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p w14:paraId="7542BA5C" w14:textId="6C0A0C94" w:rsidR="00E259B5" w:rsidRPr="001F0E2F" w:rsidRDefault="00A3039A" w:rsidP="00E259B5">
      <w:pPr>
        <w:pStyle w:val="Betarp"/>
        <w:jc w:val="both"/>
        <w:rPr>
          <w:sz w:val="24"/>
          <w:szCs w:val="24"/>
        </w:rPr>
      </w:pPr>
      <w:r w:rsidRPr="00E24724">
        <w:rPr>
          <w:b/>
          <w:sz w:val="24"/>
          <w:szCs w:val="24"/>
          <w:lang w:val="lt-LT"/>
        </w:rPr>
        <w:tab/>
      </w:r>
    </w:p>
    <w:p w14:paraId="74A8E2FC" w14:textId="77777777" w:rsidR="00A3039A" w:rsidRPr="00E24724" w:rsidRDefault="00A3039A" w:rsidP="00A3039A">
      <w:pPr>
        <w:rPr>
          <w:sz w:val="24"/>
          <w:szCs w:val="24"/>
          <w:lang w:val="lt-LT"/>
        </w:rPr>
      </w:pPr>
    </w:p>
    <w:p w14:paraId="0E18DCB4" w14:textId="77777777" w:rsidR="00822CDE" w:rsidRPr="00E24724" w:rsidRDefault="00A3039A" w:rsidP="00E35121">
      <w:pPr>
        <w:jc w:val="center"/>
        <w:rPr>
          <w:lang w:val="lt-LT"/>
        </w:rPr>
      </w:pP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</w:p>
    <w:sectPr w:rsidR="00822CDE" w:rsidRPr="00E24724" w:rsidSect="00C96BF5">
      <w:headerReference w:type="default" r:id="rId7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8C75" w14:textId="77777777" w:rsidR="00C96BF5" w:rsidRDefault="00C96BF5" w:rsidP="00444115">
      <w:r>
        <w:separator/>
      </w:r>
    </w:p>
  </w:endnote>
  <w:endnote w:type="continuationSeparator" w:id="0">
    <w:p w14:paraId="79992D67" w14:textId="77777777" w:rsidR="00C96BF5" w:rsidRDefault="00C96BF5" w:rsidP="004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02AA" w14:textId="77777777" w:rsidR="00C96BF5" w:rsidRDefault="00C96BF5" w:rsidP="00444115">
      <w:r>
        <w:separator/>
      </w:r>
    </w:p>
  </w:footnote>
  <w:footnote w:type="continuationSeparator" w:id="0">
    <w:p w14:paraId="3CFB7527" w14:textId="77777777" w:rsidR="00C96BF5" w:rsidRDefault="00C96BF5" w:rsidP="0044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2D22" w14:textId="77777777" w:rsidR="00AD4F38" w:rsidRDefault="00AD4F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9322878">
    <w:abstractNumId w:val="0"/>
  </w:num>
  <w:num w:numId="2" w16cid:durableId="274598677">
    <w:abstractNumId w:val="0"/>
  </w:num>
  <w:num w:numId="3" w16cid:durableId="314720279">
    <w:abstractNumId w:val="1"/>
  </w:num>
  <w:num w:numId="4" w16cid:durableId="687951192">
    <w:abstractNumId w:val="1"/>
  </w:num>
  <w:num w:numId="5" w16cid:durableId="2038316136">
    <w:abstractNumId w:val="1"/>
  </w:num>
  <w:num w:numId="6" w16cid:durableId="325473477">
    <w:abstractNumId w:val="1"/>
  </w:num>
  <w:num w:numId="7" w16cid:durableId="563639637">
    <w:abstractNumId w:val="1"/>
  </w:num>
  <w:num w:numId="8" w16cid:durableId="1952472019">
    <w:abstractNumId w:val="1"/>
  </w:num>
  <w:num w:numId="9" w16cid:durableId="676929603">
    <w:abstractNumId w:val="1"/>
  </w:num>
  <w:num w:numId="10" w16cid:durableId="1798376598">
    <w:abstractNumId w:val="1"/>
  </w:num>
  <w:num w:numId="11" w16cid:durableId="67037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9A"/>
    <w:rsid w:val="000052EE"/>
    <w:rsid w:val="00015D43"/>
    <w:rsid w:val="00041973"/>
    <w:rsid w:val="000B7FD4"/>
    <w:rsid w:val="000C51AF"/>
    <w:rsid w:val="001736BE"/>
    <w:rsid w:val="001A00BD"/>
    <w:rsid w:val="001C2DB0"/>
    <w:rsid w:val="00267666"/>
    <w:rsid w:val="00292DF8"/>
    <w:rsid w:val="002A12B4"/>
    <w:rsid w:val="00326B01"/>
    <w:rsid w:val="00352B1E"/>
    <w:rsid w:val="00383FE5"/>
    <w:rsid w:val="00391D63"/>
    <w:rsid w:val="0039210A"/>
    <w:rsid w:val="00404BD0"/>
    <w:rsid w:val="00435652"/>
    <w:rsid w:val="0044012A"/>
    <w:rsid w:val="00444115"/>
    <w:rsid w:val="0049138C"/>
    <w:rsid w:val="004D078C"/>
    <w:rsid w:val="0050116C"/>
    <w:rsid w:val="005E696A"/>
    <w:rsid w:val="00686D5C"/>
    <w:rsid w:val="006B4553"/>
    <w:rsid w:val="006E621B"/>
    <w:rsid w:val="007238E1"/>
    <w:rsid w:val="00785A7E"/>
    <w:rsid w:val="007A032A"/>
    <w:rsid w:val="007B2797"/>
    <w:rsid w:val="007C093F"/>
    <w:rsid w:val="007E70BA"/>
    <w:rsid w:val="00817942"/>
    <w:rsid w:val="00822CDE"/>
    <w:rsid w:val="00827C30"/>
    <w:rsid w:val="008707F7"/>
    <w:rsid w:val="008C107A"/>
    <w:rsid w:val="008C258E"/>
    <w:rsid w:val="008D1207"/>
    <w:rsid w:val="008D2221"/>
    <w:rsid w:val="008D5416"/>
    <w:rsid w:val="00921397"/>
    <w:rsid w:val="00944112"/>
    <w:rsid w:val="009610B9"/>
    <w:rsid w:val="00966FFB"/>
    <w:rsid w:val="00982C8C"/>
    <w:rsid w:val="009A653E"/>
    <w:rsid w:val="009D3B5D"/>
    <w:rsid w:val="00A10006"/>
    <w:rsid w:val="00A24A16"/>
    <w:rsid w:val="00A3039A"/>
    <w:rsid w:val="00A403F5"/>
    <w:rsid w:val="00A52AE1"/>
    <w:rsid w:val="00A637B3"/>
    <w:rsid w:val="00A73FC7"/>
    <w:rsid w:val="00AA17D4"/>
    <w:rsid w:val="00AB24D0"/>
    <w:rsid w:val="00AD4F38"/>
    <w:rsid w:val="00BC34DA"/>
    <w:rsid w:val="00C12219"/>
    <w:rsid w:val="00C42A19"/>
    <w:rsid w:val="00C91B05"/>
    <w:rsid w:val="00C96BF5"/>
    <w:rsid w:val="00CA4C1E"/>
    <w:rsid w:val="00CB2671"/>
    <w:rsid w:val="00CC3B5B"/>
    <w:rsid w:val="00D13D95"/>
    <w:rsid w:val="00D37FBD"/>
    <w:rsid w:val="00D6189B"/>
    <w:rsid w:val="00D61E69"/>
    <w:rsid w:val="00D7301F"/>
    <w:rsid w:val="00D77A0F"/>
    <w:rsid w:val="00DD2370"/>
    <w:rsid w:val="00DE2987"/>
    <w:rsid w:val="00DF0EAC"/>
    <w:rsid w:val="00E06A31"/>
    <w:rsid w:val="00E24724"/>
    <w:rsid w:val="00E259B5"/>
    <w:rsid w:val="00E35121"/>
    <w:rsid w:val="00E4147C"/>
    <w:rsid w:val="00E469BA"/>
    <w:rsid w:val="00E71443"/>
    <w:rsid w:val="00EA01E6"/>
    <w:rsid w:val="00ED1F28"/>
    <w:rsid w:val="00F1277A"/>
    <w:rsid w:val="00F178F0"/>
    <w:rsid w:val="00F46354"/>
    <w:rsid w:val="00F57A77"/>
    <w:rsid w:val="00F61073"/>
    <w:rsid w:val="00F926D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4BAF"/>
  <w15:docId w15:val="{4C377857-0D07-433E-A521-D53D4CA3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39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agrindinistekstas">
    <w:name w:val="Body Text"/>
    <w:basedOn w:val="prastasis"/>
    <w:link w:val="PagrindinistekstasDiagrama"/>
    <w:rsid w:val="00A3039A"/>
    <w:rPr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3039A"/>
    <w:rPr>
      <w:rFonts w:eastAsia="Times New Roman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A303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3039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039A"/>
    <w:rPr>
      <w:rFonts w:eastAsia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4464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cp:lastPrinted>2024-02-15T09:16:00Z</cp:lastPrinted>
  <dcterms:created xsi:type="dcterms:W3CDTF">2024-03-28T15:20:00Z</dcterms:created>
  <dcterms:modified xsi:type="dcterms:W3CDTF">2024-03-28T15:20:00Z</dcterms:modified>
</cp:coreProperties>
</file>