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3CD13D7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</w:t>
      </w:r>
      <w:r w:rsidR="003B1E3F">
        <w:rPr>
          <w:b/>
          <w:caps/>
          <w:lang w:val="lt-LT"/>
        </w:rPr>
        <w:t>127</w:t>
      </w:r>
      <w:r w:rsidR="00C95465">
        <w:rPr>
          <w:b/>
          <w:caps/>
          <w:lang w:val="lt-LT"/>
        </w:rPr>
        <w:t>-</w:t>
      </w:r>
      <w:r w:rsidR="003B1E3F">
        <w:rPr>
          <w:b/>
          <w:caps/>
          <w:lang w:val="lt-LT"/>
        </w:rPr>
        <w:t>6559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3B1E3F">
        <w:rPr>
          <w:b/>
          <w:caps/>
          <w:lang w:val="lt-LT"/>
        </w:rPr>
        <w:t>panemunyje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0940F251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r w:rsidR="00241494">
        <w:rPr>
          <w:lang w:val="en-US"/>
        </w:rPr>
        <w:t>gegužės</w:t>
      </w:r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C97AE0">
        <w:rPr>
          <w:lang w:val="en-US"/>
        </w:rPr>
        <w:t>202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r w:rsidRPr="008B4C92">
        <w:rPr>
          <w:lang w:val="en-US"/>
        </w:rPr>
        <w:t>Rokiškis</w:t>
      </w:r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213BDC74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</w:t>
      </w:r>
      <w:r w:rsidR="00521D77" w:rsidRPr="00593544">
        <w:rPr>
          <w:lang w:val="lt-LT"/>
          <w14:ligatures w14:val="none"/>
        </w:rPr>
        <w:t>2022 m. gruodžio 16 d. įsakymą Nr. 25VĮ-875-(14.25.2.) „Dėl Panevėžio apskrities Rokiškio rajono (savivaldybės) Pandėlio seniūnijos Panemunio kadastro vietovės žemės reformos žemėtvarkos projekto patvirtinimo</w:t>
      </w:r>
      <w:r w:rsidR="00D97188" w:rsidRPr="00521D77">
        <w:rPr>
          <w:lang w:val="lt-LT"/>
          <w14:ligatures w14:val="none"/>
        </w:rPr>
        <w:t>“</w:t>
      </w:r>
      <w:bookmarkEnd w:id="2"/>
      <w:r w:rsidR="008B4C92" w:rsidRPr="003B1E3F">
        <w:rPr>
          <w:color w:val="FF000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E83124" w:rsidRPr="00D465A9">
        <w:rPr>
          <w:color w:val="000000"/>
        </w:rPr>
        <w:t>(</w:t>
      </w:r>
      <w:r w:rsidR="00E83124" w:rsidRPr="00D465A9">
        <w:rPr>
          <w:i/>
          <w:iCs/>
          <w:color w:val="000000"/>
        </w:rPr>
        <w:t>duomenys neskelbiami</w:t>
      </w:r>
      <w:r w:rsidR="00E83124" w:rsidRPr="00D465A9">
        <w:rPr>
          <w:color w:val="000000"/>
        </w:rPr>
        <w:t>)</w:t>
      </w:r>
      <w:r w:rsidR="00E83124">
        <w:rPr>
          <w:color w:val="000000"/>
        </w:rPr>
        <w:t xml:space="preserve"> 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5E260C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54210EC5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E83124" w:rsidRPr="00D465A9">
        <w:rPr>
          <w:color w:val="000000"/>
        </w:rPr>
        <w:t>(</w:t>
      </w:r>
      <w:r w:rsidR="00E83124" w:rsidRPr="00D465A9">
        <w:rPr>
          <w:i/>
          <w:iCs/>
          <w:color w:val="000000"/>
        </w:rPr>
        <w:t>duomenys neskelbiami</w:t>
      </w:r>
      <w:r w:rsidR="00E83124" w:rsidRPr="00D465A9">
        <w:rPr>
          <w:color w:val="000000"/>
        </w:rPr>
        <w:t>)</w:t>
      </w:r>
      <w:r w:rsidR="00E83124">
        <w:rPr>
          <w:color w:val="000000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3B1E3F">
        <w:rPr>
          <w:color w:val="000000"/>
          <w:lang w:val="lt-LT"/>
          <w14:ligatures w14:val="none"/>
        </w:rPr>
        <w:t>2858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E83124" w:rsidRPr="00D465A9">
        <w:rPr>
          <w:color w:val="000000"/>
        </w:rPr>
        <w:t>(</w:t>
      </w:r>
      <w:r w:rsidR="00E83124" w:rsidRPr="00D465A9">
        <w:rPr>
          <w:i/>
          <w:iCs/>
          <w:color w:val="000000"/>
        </w:rPr>
        <w:t>duomenys neskelbiami</w:t>
      </w:r>
      <w:r w:rsidR="00E83124" w:rsidRPr="00D465A9">
        <w:rPr>
          <w:color w:val="000000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</w:t>
      </w:r>
      <w:r w:rsidR="003B1E3F">
        <w:rPr>
          <w:color w:val="000000"/>
          <w:lang w:val="lt-LT"/>
          <w14:ligatures w14:val="none"/>
        </w:rPr>
        <w:t>127</w:t>
      </w:r>
      <w:r w:rsidR="00A830B7">
        <w:rPr>
          <w:color w:val="000000"/>
          <w:lang w:val="lt-LT"/>
          <w14:ligatures w14:val="none"/>
        </w:rPr>
        <w:t>-</w:t>
      </w:r>
      <w:r w:rsidR="003B1E3F">
        <w:rPr>
          <w:color w:val="000000"/>
          <w:lang w:val="lt-LT"/>
          <w14:ligatures w14:val="none"/>
        </w:rPr>
        <w:t>6559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3B1E3F">
        <w:rPr>
          <w:color w:val="000000"/>
          <w:lang w:val="lt-LT"/>
          <w14:ligatures w14:val="none"/>
        </w:rPr>
        <w:t>Panemunyje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FA929C3" w14:textId="77777777" w:rsidR="00B056DC" w:rsidRDefault="00B056DC" w:rsidP="005401C3"/>
    <w:p w14:paraId="4F203526" w14:textId="77777777" w:rsidR="00B056DC" w:rsidRDefault="00B056DC" w:rsidP="005401C3"/>
    <w:p w14:paraId="4139DFD3" w14:textId="77777777" w:rsidR="00D8718D" w:rsidRDefault="00D8718D" w:rsidP="005401C3"/>
    <w:p w14:paraId="54FACAC1" w14:textId="77777777" w:rsidR="007A66A3" w:rsidRDefault="007A66A3" w:rsidP="005401C3"/>
    <w:p w14:paraId="1D588529" w14:textId="3BF31672" w:rsidR="00B056DC" w:rsidRDefault="005E260C" w:rsidP="00B056DC">
      <w:r>
        <w:t>Asta Butėnait</w:t>
      </w:r>
      <w:r w:rsidR="00B056DC">
        <w:t>ė</w:t>
      </w:r>
    </w:p>
    <w:sectPr w:rsidR="00B056DC" w:rsidSect="00C97A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3987" w14:textId="77777777" w:rsidR="000B5CA9" w:rsidRDefault="000B5CA9">
      <w:r>
        <w:separator/>
      </w:r>
    </w:p>
  </w:endnote>
  <w:endnote w:type="continuationSeparator" w:id="0">
    <w:p w14:paraId="2D84C248" w14:textId="77777777" w:rsidR="000B5CA9" w:rsidRDefault="000B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C2698" w14:textId="77777777" w:rsidR="000B5CA9" w:rsidRDefault="000B5CA9">
      <w:r>
        <w:separator/>
      </w:r>
    </w:p>
  </w:footnote>
  <w:footnote w:type="continuationSeparator" w:id="0">
    <w:p w14:paraId="3F943A91" w14:textId="77777777" w:rsidR="000B5CA9" w:rsidRDefault="000B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4AAB"/>
    <w:rsid w:val="00067313"/>
    <w:rsid w:val="0007034B"/>
    <w:rsid w:val="00092F85"/>
    <w:rsid w:val="00095826"/>
    <w:rsid w:val="000A3008"/>
    <w:rsid w:val="000A45A4"/>
    <w:rsid w:val="000B5CA9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2708D"/>
    <w:rsid w:val="00131F80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1F6E43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729E8"/>
    <w:rsid w:val="00390197"/>
    <w:rsid w:val="003A0C3A"/>
    <w:rsid w:val="003A0F21"/>
    <w:rsid w:val="003B1E3F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64ED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6FD5"/>
    <w:rsid w:val="0052007D"/>
    <w:rsid w:val="00521D77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6E3"/>
    <w:rsid w:val="005A08DC"/>
    <w:rsid w:val="005B307B"/>
    <w:rsid w:val="005C7E6B"/>
    <w:rsid w:val="005E0BC4"/>
    <w:rsid w:val="005E260C"/>
    <w:rsid w:val="005F5B2A"/>
    <w:rsid w:val="00600E9E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52B"/>
    <w:rsid w:val="007819B5"/>
    <w:rsid w:val="007A66A3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90C2C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4945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AF4D68"/>
    <w:rsid w:val="00B01BD4"/>
    <w:rsid w:val="00B04F21"/>
    <w:rsid w:val="00B056DC"/>
    <w:rsid w:val="00B30106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97AE0"/>
    <w:rsid w:val="00CB5914"/>
    <w:rsid w:val="00CC615A"/>
    <w:rsid w:val="00CE1287"/>
    <w:rsid w:val="00CF510E"/>
    <w:rsid w:val="00CF7C9C"/>
    <w:rsid w:val="00D66486"/>
    <w:rsid w:val="00D8718D"/>
    <w:rsid w:val="00D97188"/>
    <w:rsid w:val="00DC01AD"/>
    <w:rsid w:val="00DC7105"/>
    <w:rsid w:val="00DD481E"/>
    <w:rsid w:val="00DE0DB6"/>
    <w:rsid w:val="00E01C86"/>
    <w:rsid w:val="00E102B9"/>
    <w:rsid w:val="00E148A9"/>
    <w:rsid w:val="00E32736"/>
    <w:rsid w:val="00E35A87"/>
    <w:rsid w:val="00E648B2"/>
    <w:rsid w:val="00E824B5"/>
    <w:rsid w:val="00E83124"/>
    <w:rsid w:val="00E84087"/>
    <w:rsid w:val="00E861A5"/>
    <w:rsid w:val="00E963C8"/>
    <w:rsid w:val="00EA1206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B0F0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2024-05-30T13:15:00Z</dcterms:created>
  <dcterms:modified xsi:type="dcterms:W3CDTF">2024-05-30T13:15:00Z</dcterms:modified>
</cp:coreProperties>
</file>